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 xml:space="preserve">雷环建〔2021〕07号 </w:t>
      </w:r>
    </w:p>
    <w:p>
      <w:pP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44"/>
          <w:szCs w:val="44"/>
          <w:lang w:val="en-US" w:eastAsia="zh-CN"/>
        </w:rPr>
        <w:t>关于雷州市德臻木业有限公司年产93000立方米胶合板项目环境影响报告表的批复</w:t>
      </w:r>
    </w:p>
    <w:p>
      <w:pP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 xml:space="preserve">雷州市德臻木业有限公司：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你单位报送的</w:t>
      </w:r>
      <w:bookmarkStart w:id="0" w:name="_GoBack"/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《雷州市德臻木业有限公司年产93000立方米胶合板项目环境影响报告表》</w:t>
      </w:r>
      <w:bookmarkEnd w:id="0"/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 xml:space="preserve">（以下简称“报告表”）及有关材料收悉。我局按照建设项目环境管理有关规定对该项目进行审查，批复如下：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一、根据报告表环评结论和我局环评审批领导小组意见，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在项目选址符合区域城乡总体规划、土地利用规划、做到污染物稳定达标排放，确保环境安全的前提下，我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分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局原则同意你单位按报告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表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中所列建设项目的性质、规模、地点、工艺和拟采取的环境保护措施要求建设该项目。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华文仿宋" w:hAnsi="华文仿宋" w:eastAsia="华文仿宋" w:cs="华文仿宋"/>
          <w:color w:val="auto"/>
          <w:sz w:val="32"/>
          <w:szCs w:val="32"/>
        </w:rPr>
      </w:pPr>
      <w:r>
        <w:rPr>
          <w:rFonts w:hint="eastAsia" w:ascii="华文仿宋" w:hAnsi="华文仿宋" w:eastAsia="华文仿宋" w:cs="华文仿宋"/>
          <w:color w:val="auto"/>
          <w:sz w:val="32"/>
          <w:szCs w:val="32"/>
        </w:rPr>
        <w:t>本项目位于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lang w:eastAsia="zh-CN"/>
        </w:rPr>
        <w:t>雷州市纪家镇先锋村委会阳和村田寮场西边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</w:rPr>
        <w:t>，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highlight w:val="none"/>
        </w:rPr>
        <w:t>项目总占地面积为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highlight w:val="none"/>
          <w:lang w:eastAsia="zh-CN"/>
        </w:rPr>
        <w:t>21000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highlight w:val="none"/>
        </w:rPr>
        <w:t>m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highlight w:val="none"/>
          <w:vertAlign w:val="superscript"/>
        </w:rPr>
        <w:t>2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highlight w:val="none"/>
        </w:rPr>
        <w:t>，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highlight w:val="none"/>
          <w:lang w:val="en-US" w:eastAsia="zh-CN"/>
        </w:rPr>
        <w:t>总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highlight w:val="none"/>
        </w:rPr>
        <w:t>建筑面积为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highlight w:val="none"/>
          <w:lang w:val="en-US" w:eastAsia="zh-CN"/>
        </w:rPr>
        <w:t>12520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highlight w:val="none"/>
        </w:rPr>
        <w:t>m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highlight w:val="none"/>
          <w:vertAlign w:val="superscript"/>
        </w:rPr>
        <w:t>2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highlight w:val="none"/>
          <w:vertAlign w:val="baseline"/>
          <w:lang w:eastAsia="zh-CN"/>
        </w:rPr>
        <w:t>（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highlight w:val="none"/>
        </w:rPr>
        <w:t>生产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highlight w:val="none"/>
          <w:lang w:eastAsia="zh-CN"/>
        </w:rPr>
        <w:t>区建筑面积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highlight w:val="none"/>
          <w:lang w:val="en-US" w:eastAsia="zh-CN"/>
        </w:rPr>
        <w:t>10000m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highlight w:val="none"/>
          <w:vertAlign w:val="superscript"/>
          <w:lang w:val="en-US" w:eastAsia="zh-CN"/>
        </w:rPr>
        <w:t>2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highlight w:val="none"/>
          <w:lang w:val="en-US" w:eastAsia="zh-CN"/>
        </w:rPr>
        <w:t>，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</w:rPr>
        <w:t>办公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lang w:eastAsia="zh-CN"/>
        </w:rPr>
        <w:t>区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lang w:val="en-US" w:eastAsia="zh-CN"/>
        </w:rPr>
        <w:t>1000m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vertAlign w:val="superscript"/>
          <w:lang w:val="en-US" w:eastAsia="zh-CN"/>
        </w:rPr>
        <w:t>2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vertAlign w:val="baseline"/>
          <w:lang w:val="en-US" w:eastAsia="zh-CN"/>
        </w:rPr>
        <w:t>，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lang w:eastAsia="zh-CN"/>
        </w:rPr>
        <w:t>住宿区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lang w:val="en-US" w:eastAsia="zh-CN"/>
        </w:rPr>
        <w:t>1500m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vertAlign w:val="superscript"/>
          <w:lang w:val="en-US" w:eastAsia="zh-CN"/>
        </w:rPr>
        <w:t>2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vertAlign w:val="baseline"/>
          <w:lang w:val="en-US" w:eastAsia="zh-CN"/>
        </w:rPr>
        <w:t>，脲醛树脂胶黏剂、机油仓库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lang w:val="en-US" w:eastAsia="zh-CN"/>
        </w:rPr>
        <w:t>10m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vertAlign w:val="superscript"/>
          <w:lang w:val="en-US" w:eastAsia="zh-CN"/>
        </w:rPr>
        <w:t>2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vertAlign w:val="baseline"/>
          <w:lang w:val="en-US" w:eastAsia="zh-CN"/>
        </w:rPr>
        <w:t>，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lang w:eastAsia="zh-CN"/>
        </w:rPr>
        <w:t>危废暂存间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lang w:val="en-US" w:eastAsia="zh-CN"/>
        </w:rPr>
        <w:t>10m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vertAlign w:val="superscript"/>
          <w:lang w:val="en-US" w:eastAsia="zh-CN"/>
        </w:rPr>
        <w:t>2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highlight w:val="none"/>
          <w:vertAlign w:val="baseline"/>
          <w:lang w:eastAsia="zh-CN"/>
        </w:rPr>
        <w:t>）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highlight w:val="none"/>
        </w:rPr>
        <w:t>。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lang w:eastAsia="zh-CN"/>
        </w:rPr>
        <w:t>主要从事胶合板的加工生产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lang w:val="en-US" w:eastAsia="zh-CN"/>
        </w:rPr>
        <w:t>，项目建成后预计年产胶合板93000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</w:rPr>
        <w:t>m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vertAlign w:val="superscript"/>
        </w:rPr>
        <w:t>3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lang w:val="en-US" w:eastAsia="zh-CN"/>
        </w:rPr>
        <w:t>。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</w:rPr>
        <w:t>总投资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lang w:val="en-US" w:eastAsia="zh-CN"/>
        </w:rPr>
        <w:t>1000万元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</w:rPr>
        <w:t>，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lang w:eastAsia="zh-CN"/>
        </w:rPr>
        <w:t>其中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lang w:val="en-US" w:eastAsia="zh-CN"/>
        </w:rPr>
        <w:t>环保投资为40万元。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 xml:space="preserve">二、项目建设、运营应重点做好以下工作： </w:t>
      </w:r>
    </w:p>
    <w:p>
      <w:pPr>
        <w:ind w:firstLine="640" w:firstLineChars="200"/>
        <w:rPr>
          <w:rFonts w:hint="eastAsia" w:ascii="华文仿宋" w:hAnsi="华文仿宋" w:eastAsia="华文仿宋" w:cs="华文仿宋"/>
          <w:color w:val="auto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color w:val="auto"/>
          <w:sz w:val="32"/>
          <w:szCs w:val="32"/>
          <w:lang w:val="en-US" w:eastAsia="zh-CN"/>
        </w:rPr>
        <w:t>（一）加强废水污染防治。锅炉定期排污水经处理后回用厂区绿化灌溉，生活废水</w:t>
      </w:r>
      <w:r>
        <w:rPr>
          <w:rFonts w:hint="eastAsia" w:ascii="华文仿宋" w:hAnsi="华文仿宋" w:eastAsia="华文仿宋" w:cs="华文仿宋"/>
          <w:b w:val="0"/>
          <w:bCs/>
          <w:color w:val="auto"/>
          <w:sz w:val="32"/>
          <w:szCs w:val="32"/>
          <w:lang w:val="en-US" w:eastAsia="zh-CN"/>
        </w:rPr>
        <w:t>处理后</w:t>
      </w:r>
      <w:r>
        <w:rPr>
          <w:rFonts w:hint="eastAsia" w:ascii="华文仿宋" w:hAnsi="华文仿宋" w:eastAsia="华文仿宋" w:cs="华文仿宋"/>
          <w:b w:val="0"/>
          <w:bCs/>
          <w:color w:val="auto"/>
          <w:sz w:val="32"/>
          <w:szCs w:val="32"/>
          <w:lang w:eastAsia="zh-CN"/>
        </w:rPr>
        <w:t>执行</w:t>
      </w:r>
      <w:r>
        <w:rPr>
          <w:rFonts w:hint="eastAsia" w:ascii="华文仿宋" w:hAnsi="华文仿宋" w:eastAsia="华文仿宋" w:cs="华文仿宋"/>
          <w:b w:val="0"/>
          <w:bCs/>
          <w:color w:val="auto"/>
          <w:sz w:val="32"/>
          <w:szCs w:val="32"/>
        </w:rPr>
        <w:t>《农田灌溉水质标准》（GB5084-2005）旱作标准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lang w:val="en-US" w:eastAsia="zh-CN"/>
        </w:rPr>
        <w:t>。</w:t>
      </w:r>
    </w:p>
    <w:p>
      <w:pPr>
        <w:ind w:firstLine="640" w:firstLineChars="200"/>
        <w:rPr>
          <w:rFonts w:hint="eastAsia" w:ascii="华文仿宋" w:hAnsi="华文仿宋" w:eastAsia="华文仿宋" w:cs="华文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（</w:t>
      </w:r>
      <w:r>
        <w:rPr>
          <w:rFonts w:hint="eastAsia" w:ascii="华文仿宋" w:hAnsi="华文仿宋" w:eastAsia="华文仿宋" w:cs="华文仿宋"/>
          <w:b w:val="0"/>
          <w:bCs w:val="0"/>
          <w:color w:val="auto"/>
          <w:sz w:val="32"/>
          <w:szCs w:val="32"/>
          <w:lang w:val="en-US" w:eastAsia="zh-CN"/>
        </w:rPr>
        <w:t>二）加强废气污染防治。</w:t>
      </w:r>
      <w:r>
        <w:rPr>
          <w:rFonts w:hint="eastAsia" w:ascii="华文仿宋" w:hAnsi="华文仿宋" w:eastAsia="华文仿宋" w:cs="华文仿宋"/>
          <w:b w:val="0"/>
          <w:bCs/>
          <w:color w:val="auto"/>
          <w:sz w:val="32"/>
          <w:szCs w:val="32"/>
          <w:lang w:eastAsia="zh-CN"/>
        </w:rPr>
        <w:t>裁</w:t>
      </w:r>
      <w:r>
        <w:rPr>
          <w:rFonts w:hint="eastAsia" w:ascii="华文仿宋" w:hAnsi="华文仿宋" w:eastAsia="华文仿宋" w:cs="华文仿宋"/>
          <w:b w:val="0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边</w:t>
      </w:r>
      <w:r>
        <w:rPr>
          <w:rFonts w:hint="eastAsia" w:ascii="华文仿宋" w:hAnsi="华文仿宋" w:eastAsia="华文仿宋" w:cs="华文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过程中产生的粉尘</w:t>
      </w:r>
      <w:r>
        <w:rPr>
          <w:rFonts w:hint="eastAsia" w:ascii="华文仿宋" w:hAnsi="华文仿宋" w:eastAsia="华文仿宋" w:cs="华文仿宋"/>
          <w:b w:val="0"/>
          <w:bCs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经集气罩收集进入“布袋除尘器”处理后无组织排放</w:t>
      </w:r>
      <w:r>
        <w:rPr>
          <w:rFonts w:hint="eastAsia" w:ascii="华文仿宋" w:hAnsi="华文仿宋" w:eastAsia="华文仿宋" w:cs="华文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华文仿宋" w:hAnsi="华文仿宋" w:eastAsia="华文仿宋" w:cs="华文仿宋"/>
          <w:b w:val="0"/>
          <w:bCs/>
          <w:color w:val="000000" w:themeColor="text1"/>
          <w:kern w:val="2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执行</w:t>
      </w:r>
      <w:r>
        <w:rPr>
          <w:rFonts w:hint="eastAsia" w:ascii="华文仿宋" w:hAnsi="华文仿宋" w:eastAsia="华文仿宋" w:cs="华文仿宋"/>
          <w:b w:val="0"/>
          <w:bCs/>
          <w:color w:val="auto"/>
          <w:kern w:val="2"/>
          <w:sz w:val="32"/>
          <w:szCs w:val="32"/>
        </w:rPr>
        <w:t>广东省地方标准《大气污染物排放限值》（DB44/27—2001）无组织排放监控浓度限值</w:t>
      </w:r>
      <w:r>
        <w:rPr>
          <w:rFonts w:hint="eastAsia" w:ascii="华文仿宋" w:hAnsi="华文仿宋" w:eastAsia="华文仿宋" w:cs="华文仿宋"/>
          <w:b w:val="0"/>
          <w:bCs/>
          <w:color w:val="auto"/>
          <w:kern w:val="2"/>
          <w:sz w:val="32"/>
          <w:szCs w:val="32"/>
          <w:lang w:val="en-US" w:eastAsia="zh-CN"/>
        </w:rPr>
        <w:t>；</w:t>
      </w:r>
      <w:r>
        <w:rPr>
          <w:rFonts w:hint="eastAsia" w:ascii="华文仿宋" w:hAnsi="华文仿宋" w:eastAsia="华文仿宋" w:cs="华文仿宋"/>
          <w:b w:val="0"/>
          <w:bCs/>
          <w:color w:val="auto"/>
          <w:kern w:val="2"/>
          <w:sz w:val="32"/>
          <w:szCs w:val="32"/>
        </w:rPr>
        <w:t>总VOCs</w:t>
      </w:r>
      <w:r>
        <w:rPr>
          <w:rFonts w:hint="eastAsia" w:ascii="华文仿宋" w:hAnsi="华文仿宋" w:eastAsia="华文仿宋" w:cs="华文仿宋"/>
          <w:b w:val="0"/>
          <w:bCs/>
          <w:color w:val="auto"/>
          <w:kern w:val="2"/>
          <w:sz w:val="32"/>
          <w:szCs w:val="32"/>
          <w:lang w:eastAsia="zh-CN"/>
        </w:rPr>
        <w:t>执行</w:t>
      </w:r>
      <w:r>
        <w:rPr>
          <w:rFonts w:hint="eastAsia" w:ascii="华文仿宋" w:hAnsi="华文仿宋" w:eastAsia="华文仿宋" w:cs="华文仿宋"/>
          <w:b w:val="0"/>
          <w:bCs/>
          <w:color w:val="auto"/>
          <w:kern w:val="2"/>
          <w:sz w:val="32"/>
          <w:szCs w:val="32"/>
        </w:rPr>
        <w:t>广东省《家具制造行业挥发性有机化合物排放标准》（DB44/814-2010）中Ⅱ时段排放限值和无组织排放监控点浓度限值</w:t>
      </w:r>
      <w:r>
        <w:rPr>
          <w:rFonts w:hint="eastAsia" w:ascii="华文仿宋" w:hAnsi="华文仿宋" w:eastAsia="华文仿宋" w:cs="华文仿宋"/>
          <w:b w:val="0"/>
          <w:bCs/>
          <w:color w:val="auto"/>
          <w:kern w:val="2"/>
          <w:sz w:val="32"/>
          <w:szCs w:val="32"/>
          <w:lang w:eastAsia="zh-CN"/>
        </w:rPr>
        <w:t>；</w:t>
      </w:r>
      <w:r>
        <w:rPr>
          <w:rFonts w:hint="eastAsia" w:ascii="华文仿宋" w:hAnsi="华文仿宋" w:eastAsia="华文仿宋" w:cs="华文仿宋"/>
          <w:b w:val="0"/>
          <w:bCs/>
          <w:color w:val="auto"/>
          <w:kern w:val="2"/>
          <w:sz w:val="32"/>
          <w:szCs w:val="32"/>
        </w:rPr>
        <w:t>甲醛</w:t>
      </w:r>
      <w:r>
        <w:rPr>
          <w:rFonts w:hint="eastAsia" w:ascii="华文仿宋" w:hAnsi="华文仿宋" w:eastAsia="华文仿宋" w:cs="华文仿宋"/>
          <w:b w:val="0"/>
          <w:bCs/>
          <w:color w:val="auto"/>
          <w:kern w:val="2"/>
          <w:sz w:val="32"/>
          <w:szCs w:val="32"/>
          <w:lang w:eastAsia="zh-CN"/>
        </w:rPr>
        <w:t>执行</w:t>
      </w:r>
      <w:r>
        <w:rPr>
          <w:rFonts w:hint="eastAsia" w:ascii="华文仿宋" w:hAnsi="华文仿宋" w:eastAsia="华文仿宋" w:cs="华文仿宋"/>
          <w:b w:val="0"/>
          <w:bCs/>
          <w:color w:val="auto"/>
          <w:kern w:val="2"/>
          <w:sz w:val="32"/>
          <w:szCs w:val="32"/>
        </w:rPr>
        <w:t>广东省地方标准《大气污染物排放限值》（DB44/27—2001）第二时段排放限值和无组织排放监控浓度限值</w:t>
      </w:r>
      <w:r>
        <w:rPr>
          <w:rFonts w:hint="eastAsia" w:ascii="华文仿宋" w:hAnsi="华文仿宋" w:eastAsia="华文仿宋" w:cs="华文仿宋"/>
          <w:b w:val="0"/>
          <w:bCs/>
          <w:color w:val="auto"/>
          <w:kern w:val="2"/>
          <w:sz w:val="32"/>
          <w:szCs w:val="32"/>
          <w:lang w:val="en-US" w:eastAsia="zh-CN"/>
        </w:rPr>
        <w:t>；</w:t>
      </w:r>
      <w:r>
        <w:rPr>
          <w:rFonts w:hint="eastAsia" w:ascii="华文仿宋" w:hAnsi="华文仿宋" w:eastAsia="华文仿宋" w:cs="华文仿宋"/>
          <w:b w:val="0"/>
          <w:bCs/>
          <w:color w:val="auto"/>
          <w:kern w:val="2"/>
          <w:sz w:val="32"/>
          <w:szCs w:val="32"/>
        </w:rPr>
        <w:t>锅炉废气</w:t>
      </w:r>
      <w:r>
        <w:rPr>
          <w:rFonts w:hint="eastAsia" w:ascii="华文仿宋" w:hAnsi="华文仿宋" w:eastAsia="华文仿宋" w:cs="华文仿宋"/>
          <w:b w:val="0"/>
          <w:bCs/>
          <w:color w:val="auto"/>
          <w:kern w:val="2"/>
          <w:sz w:val="32"/>
          <w:szCs w:val="32"/>
          <w:lang w:eastAsia="zh-CN"/>
        </w:rPr>
        <w:t>执行广东省地方环境标准《锅炉大气污染物排放标准（DB44/765-2019）》表2规定“燃生物质成型燃料锅炉”标准，</w:t>
      </w:r>
      <w:r>
        <w:rPr>
          <w:rFonts w:hint="eastAsia" w:ascii="华文仿宋" w:hAnsi="华文仿宋" w:eastAsia="华文仿宋" w:cs="华文仿宋"/>
          <w:b w:val="0"/>
          <w:bCs/>
          <w:color w:val="auto"/>
          <w:kern w:val="2"/>
          <w:sz w:val="32"/>
          <w:szCs w:val="32"/>
        </w:rPr>
        <w:t>锅炉</w:t>
      </w:r>
      <w:r>
        <w:rPr>
          <w:rFonts w:hint="eastAsia" w:ascii="华文仿宋" w:hAnsi="华文仿宋" w:eastAsia="华文仿宋" w:cs="华文仿宋"/>
          <w:b w:val="0"/>
          <w:bCs/>
          <w:color w:val="auto"/>
          <w:kern w:val="2"/>
          <w:sz w:val="32"/>
          <w:szCs w:val="32"/>
          <w:lang w:val="en-US" w:eastAsia="zh-CN"/>
        </w:rPr>
        <w:t>废气排气筒高度执行</w:t>
      </w:r>
      <w:r>
        <w:rPr>
          <w:rFonts w:hint="eastAsia" w:ascii="华文仿宋" w:hAnsi="华文仿宋" w:eastAsia="华文仿宋" w:cs="华文仿宋"/>
          <w:b w:val="0"/>
          <w:bCs/>
          <w:color w:val="auto"/>
          <w:kern w:val="2"/>
          <w:sz w:val="32"/>
          <w:szCs w:val="32"/>
          <w:lang w:eastAsia="zh-CN"/>
        </w:rPr>
        <w:t>《锅炉大气污染物排放标准（DB44/765-2019）》</w:t>
      </w:r>
      <w:r>
        <w:rPr>
          <w:rFonts w:hint="eastAsia" w:ascii="华文仿宋" w:hAnsi="华文仿宋" w:eastAsia="华文仿宋" w:cs="华文仿宋"/>
          <w:b w:val="0"/>
          <w:bCs/>
          <w:color w:val="auto"/>
          <w:kern w:val="2"/>
          <w:sz w:val="32"/>
          <w:szCs w:val="32"/>
          <w:lang w:val="en-US" w:eastAsia="zh-CN"/>
        </w:rPr>
        <w:t>相关规定要求。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华文仿宋" w:hAnsi="华文仿宋" w:eastAsia="华文仿宋" w:cs="华文仿宋"/>
          <w:color w:val="auto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color w:val="auto"/>
          <w:sz w:val="32"/>
          <w:szCs w:val="32"/>
          <w:lang w:val="en-US" w:eastAsia="zh-CN"/>
        </w:rPr>
        <w:t>（三）加强噪声污染防治。选用低噪声型设备，采取消声、减振和隔声等降噪措施。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</w:rPr>
        <w:t>厂界噪声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lang w:val="en-US" w:eastAsia="zh-CN"/>
        </w:rPr>
        <w:t>执行</w:t>
      </w:r>
      <w:r>
        <w:rPr>
          <w:rFonts w:hint="eastAsia" w:ascii="华文仿宋" w:hAnsi="华文仿宋" w:eastAsia="华文仿宋" w:cs="华文仿宋"/>
          <w:b w:val="0"/>
          <w:bCs/>
          <w:color w:val="auto"/>
          <w:sz w:val="32"/>
          <w:szCs w:val="32"/>
        </w:rPr>
        <w:t>《工业企业厂界环境噪声排放标准》（GB12348—2008）中2类标准</w:t>
      </w:r>
      <w:r>
        <w:rPr>
          <w:rFonts w:hint="eastAsia" w:ascii="华文仿宋" w:hAnsi="华文仿宋" w:eastAsia="华文仿宋" w:cs="华文仿宋"/>
          <w:b w:val="0"/>
          <w:bCs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 xml:space="preserve">各类固体废物按有关规定妥善处理，确保环境安全。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 xml:space="preserve">三、本批复仅从环境保护角度分析同意你单位在该地点建设项目，该项目开工建设及运营须按有关规定取得其他相关部门的同意。项目建设必须严格执行配套的环境保护设施与主体工程同时设计、同时施工、同时投产使用的环境保护“三同时”制度。项目竣工后, 建设单位须按规定程序实施项目竣工环境保护验收，验收合格后方可正式投入生产。 </w:t>
      </w:r>
    </w:p>
    <w:p>
      <w:pPr>
        <w:jc w:val="right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 xml:space="preserve">湛江市生态环境局雷州分局 </w:t>
      </w:r>
    </w:p>
    <w:p>
      <w:pPr>
        <w:jc w:val="center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 xml:space="preserve">                          2021年4月6日 </w:t>
      </w:r>
    </w:p>
    <w:p>
      <w:pP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CD0314"/>
    <w:multiLevelType w:val="singleLevel"/>
    <w:tmpl w:val="46CD0314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971699"/>
    <w:rsid w:val="02795D94"/>
    <w:rsid w:val="0A2D2C0D"/>
    <w:rsid w:val="0CCD3988"/>
    <w:rsid w:val="0F914160"/>
    <w:rsid w:val="101A5632"/>
    <w:rsid w:val="111D62A5"/>
    <w:rsid w:val="116042D6"/>
    <w:rsid w:val="12AA1338"/>
    <w:rsid w:val="16AD2861"/>
    <w:rsid w:val="19D02D0B"/>
    <w:rsid w:val="1C417A3E"/>
    <w:rsid w:val="1F69796F"/>
    <w:rsid w:val="20A46AD4"/>
    <w:rsid w:val="295A1E57"/>
    <w:rsid w:val="2B643C27"/>
    <w:rsid w:val="2FD01F42"/>
    <w:rsid w:val="30134267"/>
    <w:rsid w:val="30204822"/>
    <w:rsid w:val="3246041F"/>
    <w:rsid w:val="32EA76A9"/>
    <w:rsid w:val="399C1E33"/>
    <w:rsid w:val="3D164409"/>
    <w:rsid w:val="41320406"/>
    <w:rsid w:val="43DD6447"/>
    <w:rsid w:val="4A4C60D0"/>
    <w:rsid w:val="4B95035A"/>
    <w:rsid w:val="51E30EAB"/>
    <w:rsid w:val="55D16540"/>
    <w:rsid w:val="56E37289"/>
    <w:rsid w:val="57126725"/>
    <w:rsid w:val="5C191633"/>
    <w:rsid w:val="5E3055AF"/>
    <w:rsid w:val="608716E9"/>
    <w:rsid w:val="608F09D3"/>
    <w:rsid w:val="60962205"/>
    <w:rsid w:val="61C04ACA"/>
    <w:rsid w:val="62E719CA"/>
    <w:rsid w:val="63EF2FA0"/>
    <w:rsid w:val="66582D8C"/>
    <w:rsid w:val="69021880"/>
    <w:rsid w:val="6A481360"/>
    <w:rsid w:val="6A5E74DE"/>
    <w:rsid w:val="6A971699"/>
    <w:rsid w:val="6CF35C8E"/>
    <w:rsid w:val="6E834F4A"/>
    <w:rsid w:val="704155D6"/>
    <w:rsid w:val="712906B0"/>
    <w:rsid w:val="747E573C"/>
    <w:rsid w:val="77126FDA"/>
    <w:rsid w:val="775E59C1"/>
    <w:rsid w:val="785A6634"/>
    <w:rsid w:val="79C32894"/>
    <w:rsid w:val="79DD447F"/>
    <w:rsid w:val="7A4C3CE8"/>
    <w:rsid w:val="7D497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4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3"/>
    <w:next w:val="4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3">
    <w:name w:val="纯文本1"/>
    <w:basedOn w:val="1"/>
    <w:qFormat/>
    <w:uiPriority w:val="0"/>
    <w:pPr>
      <w:adjustRightInd w:val="0"/>
    </w:pPr>
    <w:rPr>
      <w:rFonts w:ascii="宋体" w:hAnsi="Courier New"/>
      <w:szCs w:val="20"/>
    </w:rPr>
  </w:style>
  <w:style w:type="paragraph" w:customStyle="1" w:styleId="4">
    <w:name w:val="样式35"/>
    <w:basedOn w:val="5"/>
    <w:next w:val="9"/>
    <w:qFormat/>
    <w:uiPriority w:val="0"/>
    <w:pPr>
      <w:tabs>
        <w:tab w:val="left" w:pos="0"/>
        <w:tab w:val="left" w:pos="360"/>
        <w:tab w:val="left" w:pos="540"/>
        <w:tab w:val="left" w:pos="567"/>
        <w:tab w:val="left" w:pos="992"/>
      </w:tabs>
      <w:ind w:hanging="567"/>
    </w:pPr>
  </w:style>
  <w:style w:type="paragraph" w:customStyle="1" w:styleId="5">
    <w:name w:val="样式26"/>
    <w:basedOn w:val="6"/>
    <w:qFormat/>
    <w:uiPriority w:val="0"/>
    <w:pPr>
      <w:tabs>
        <w:tab w:val="left" w:pos="0"/>
        <w:tab w:val="left" w:pos="360"/>
        <w:tab w:val="left" w:pos="540"/>
        <w:tab w:val="left" w:pos="567"/>
      </w:tabs>
    </w:pPr>
  </w:style>
  <w:style w:type="paragraph" w:customStyle="1" w:styleId="6">
    <w:name w:val="样式21"/>
    <w:basedOn w:val="7"/>
    <w:qFormat/>
    <w:uiPriority w:val="0"/>
    <w:pPr>
      <w:tabs>
        <w:tab w:val="left" w:pos="360"/>
        <w:tab w:val="left" w:pos="567"/>
      </w:tabs>
      <w:spacing w:before="120" w:beforeLines="0" w:after="120" w:afterLines="0"/>
      <w:ind w:hanging="992"/>
    </w:pPr>
    <w:rPr>
      <w:kern w:val="0"/>
    </w:rPr>
  </w:style>
  <w:style w:type="paragraph" w:customStyle="1" w:styleId="7">
    <w:name w:val="样式5"/>
    <w:basedOn w:val="8"/>
    <w:qFormat/>
    <w:uiPriority w:val="0"/>
    <w:pPr>
      <w:tabs>
        <w:tab w:val="left" w:pos="360"/>
        <w:tab w:val="left" w:pos="567"/>
      </w:tabs>
      <w:ind w:hanging="567" w:firstLineChars="0"/>
    </w:pPr>
    <w:rPr>
      <w:rFonts w:cs="Times New Roman"/>
    </w:rPr>
  </w:style>
  <w:style w:type="paragraph" w:customStyle="1" w:styleId="8">
    <w:name w:val="样式12"/>
    <w:basedOn w:val="1"/>
    <w:qFormat/>
    <w:uiPriority w:val="0"/>
    <w:pPr>
      <w:keepNext/>
      <w:keepLines/>
      <w:tabs>
        <w:tab w:val="left" w:pos="360"/>
      </w:tabs>
      <w:adjustRightInd w:val="0"/>
      <w:snapToGrid w:val="0"/>
      <w:spacing w:before="156" w:beforeLines="50" w:after="156" w:afterLines="50" w:line="360" w:lineRule="auto"/>
      <w:ind w:left="567" w:hanging="992" w:firstLineChars="200"/>
      <w:outlineLvl w:val="1"/>
    </w:pPr>
    <w:rPr>
      <w:rFonts w:eastAsia="黑体"/>
      <w:sz w:val="28"/>
      <w:szCs w:val="28"/>
    </w:rPr>
  </w:style>
  <w:style w:type="paragraph" w:customStyle="1" w:styleId="9">
    <w:name w:val="font6"/>
    <w:basedOn w:val="1"/>
    <w:next w:val="10"/>
    <w:qFormat/>
    <w:uiPriority w:val="0"/>
    <w:pPr>
      <w:widowControl/>
      <w:spacing w:before="100" w:beforeAutospacing="1" w:after="100" w:afterAutospacing="1"/>
      <w:jc w:val="left"/>
    </w:pPr>
    <w:rPr>
      <w:rFonts w:cs="Calibri"/>
      <w:color w:val="000000"/>
      <w:kern w:val="0"/>
      <w:szCs w:val="21"/>
    </w:rPr>
  </w:style>
  <w:style w:type="paragraph" w:styleId="10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64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2019-07-29T02:27:00Z</dcterms:created>
  <dc:creator>天蓝水清</dc:creator>
  <cp:lastModifiedBy>HP</cp:lastModifiedBy>
  <cp:lastPrinted>2021-04-06T07:29:27Z</cp:lastPrinted>
  <dcterms:modified xsi:type="dcterms:W3CDTF">2021-04-06T08:23:49Z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E985135B15524B0080E4F2EC649F05E1</vt:lpwstr>
  </property>
</Properties>
</file>