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3" w:firstLineChars="200"/>
        <w:jc w:val="center"/>
        <w:textAlignment w:val="baseline"/>
        <w:rPr>
          <w:rStyle w:val="6"/>
          <w:rFonts w:hint="eastAsia" w:ascii="仿宋_GB2312" w:eastAsia="仿宋_GB2312"/>
          <w:b/>
          <w:kern w:val="2"/>
          <w:sz w:val="36"/>
          <w:szCs w:val="36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kern w:val="2"/>
          <w:sz w:val="36"/>
          <w:szCs w:val="36"/>
          <w:lang w:val="en-US" w:eastAsia="zh-CN" w:bidi="ar-SA"/>
        </w:rPr>
        <w:t xml:space="preserve">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3" w:firstLineChars="200"/>
        <w:jc w:val="center"/>
        <w:textAlignment w:val="baseline"/>
        <w:rPr>
          <w:rStyle w:val="6"/>
          <w:rFonts w:ascii="仿宋_GB2312" w:eastAsia="仿宋_GB2312"/>
          <w:b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仿宋_GB2312" w:eastAsia="仿宋_GB2312"/>
          <w:b/>
          <w:kern w:val="2"/>
          <w:sz w:val="36"/>
          <w:szCs w:val="36"/>
          <w:lang w:val="en-US" w:eastAsia="zh-CN" w:bidi="ar-SA"/>
        </w:rPr>
        <w:t>雷州市人民政府关于</w:t>
      </w:r>
      <w:r>
        <w:rPr>
          <w:rStyle w:val="6"/>
          <w:rFonts w:hint="eastAsia" w:ascii="仿宋_GB2312" w:eastAsia="仿宋_GB2312"/>
          <w:b/>
          <w:kern w:val="2"/>
          <w:sz w:val="36"/>
          <w:szCs w:val="36"/>
          <w:lang w:val="en-US" w:eastAsia="zh-CN" w:bidi="ar-SA"/>
        </w:rPr>
        <w:t>调整</w:t>
      </w:r>
      <w:r>
        <w:rPr>
          <w:rStyle w:val="6"/>
          <w:rFonts w:ascii="仿宋_GB2312" w:eastAsia="仿宋_GB2312"/>
          <w:b/>
          <w:kern w:val="2"/>
          <w:sz w:val="36"/>
          <w:szCs w:val="36"/>
          <w:lang w:val="en-US" w:eastAsia="zh-CN" w:bidi="ar-SA"/>
        </w:rPr>
        <w:t>雷州市畜禽养殖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3" w:firstLineChars="200"/>
        <w:jc w:val="center"/>
        <w:textAlignment w:val="baseline"/>
        <w:rPr>
          <w:rStyle w:val="6"/>
          <w:rFonts w:ascii="仿宋_GB2312" w:hAnsi="仿宋_GB2312" w:eastAsia="仿宋_GB2312"/>
          <w:b/>
          <w:kern w:val="2"/>
          <w:sz w:val="36"/>
          <w:szCs w:val="36"/>
          <w:lang w:val="en-US" w:eastAsia="zh-CN" w:bidi="ar-SA"/>
        </w:rPr>
      </w:pPr>
      <w:r>
        <w:rPr>
          <w:rStyle w:val="6"/>
          <w:rFonts w:ascii="仿宋_GB2312" w:hAnsi="仿宋_GB2312" w:eastAsia="仿宋_GB2312"/>
          <w:b/>
          <w:kern w:val="2"/>
          <w:sz w:val="36"/>
          <w:szCs w:val="36"/>
          <w:lang w:val="en-US" w:eastAsia="zh-CN" w:bidi="ar-SA"/>
        </w:rPr>
        <w:t>禁养区限养区适养区的通告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center"/>
        <w:textAlignment w:val="baseline"/>
        <w:rPr>
          <w:rStyle w:val="6"/>
          <w:rFonts w:ascii="仿宋_GB2312" w:hAnsi="仿宋_GB2312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kern w:val="2"/>
          <w:sz w:val="32"/>
          <w:szCs w:val="32"/>
          <w:lang w:val="en-US" w:eastAsia="zh-CN" w:bidi="ar-SA"/>
        </w:rPr>
        <w:t>雷府通[</w:t>
      </w:r>
      <w:r>
        <w:rPr>
          <w:rStyle w:val="6"/>
          <w:rFonts w:hint="eastAsia" w:ascii="仿宋_GB2312" w:hAnsi="仿宋_GB2312" w:eastAsia="仿宋_GB2312"/>
          <w:kern w:val="2"/>
          <w:sz w:val="32"/>
          <w:szCs w:val="32"/>
          <w:lang w:val="en-US" w:eastAsia="zh-CN" w:bidi="ar-SA"/>
        </w:rPr>
        <w:t>2020</w:t>
      </w:r>
      <w:r>
        <w:rPr>
          <w:rStyle w:val="6"/>
          <w:rFonts w:ascii="仿宋_GB2312" w:hAnsi="仿宋_GB2312" w:eastAsia="仿宋_GB2312"/>
          <w:kern w:val="2"/>
          <w:sz w:val="32"/>
          <w:szCs w:val="32"/>
          <w:lang w:val="en-US" w:eastAsia="zh-CN" w:bidi="ar-SA"/>
        </w:rPr>
        <w:t>]  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723" w:firstLineChars="200"/>
        <w:jc w:val="center"/>
        <w:textAlignment w:val="baseline"/>
        <w:rPr>
          <w:rStyle w:val="6"/>
          <w:rFonts w:ascii="仿宋_GB2312" w:hAnsi="仿宋_GB2312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kern w:val="2"/>
          <w:sz w:val="36"/>
          <w:szCs w:val="36"/>
          <w:lang w:val="en-US" w:eastAsia="zh-CN" w:bidi="ar-SA"/>
        </w:rPr>
        <w:t>（征求意见稿）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baseline"/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为</w:t>
      </w:r>
      <w:r>
        <w:rPr>
          <w:rStyle w:val="6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科学、规范、优化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畜禽</w:t>
      </w:r>
      <w:r>
        <w:rPr>
          <w:rStyle w:val="6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养殖业地域范围，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防治畜禽养殖业污染，保护和改善我市环境，保障人民身体健康，依据《中华人民共和国环境保护法》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《中华人民共和国畜牧法》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《中华人民共和国水污染防治法》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《畜禽养殖污染防治管理办法》《动物防疫条件审查办法》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《广东省环境保护条例》的有关规定，结合我市实际情况，</w:t>
      </w:r>
      <w:r>
        <w:rPr>
          <w:rStyle w:val="6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调整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雷州市畜禽养殖禁养区、限养区、适养区。现将有关事项通告如下：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b/>
          <w:color w:val="333333"/>
          <w:kern w:val="2"/>
          <w:sz w:val="32"/>
          <w:szCs w:val="32"/>
          <w:lang w:val="en-US" w:eastAsia="zh-CN" w:bidi="ar-SA"/>
        </w:rPr>
        <w:t>一、禁养区</w:t>
      </w:r>
      <w:r>
        <w:rPr>
          <w:rStyle w:val="6"/>
          <w:rFonts w:ascii="仿宋_GB2312" w:eastAsia="仿宋_GB2312"/>
          <w:b/>
          <w:kern w:val="2"/>
          <w:sz w:val="32"/>
          <w:szCs w:val="32"/>
          <w:lang w:val="en-US" w:eastAsia="zh-CN" w:bidi="ar-SA"/>
        </w:rPr>
        <w:t>划定</w:t>
      </w:r>
      <w:r>
        <w:rPr>
          <w:rStyle w:val="6"/>
          <w:rFonts w:ascii="仿宋_GB2312" w:eastAsia="仿宋_GB2312"/>
          <w:b/>
          <w:color w:val="333333"/>
          <w:kern w:val="2"/>
          <w:sz w:val="32"/>
          <w:szCs w:val="32"/>
          <w:lang w:val="en-US" w:eastAsia="zh-CN" w:bidi="ar-SA"/>
        </w:rPr>
        <w:t>范围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：生活饮用水水源一、二级保护区、风景名胜区、</w:t>
      </w:r>
      <w:r>
        <w:rPr>
          <w:rStyle w:val="6"/>
          <w:rFonts w:hint="eastAsia" w:ascii="仿宋_GB2312" w:eastAsia="仿宋_GB2312"/>
          <w:color w:val="333333"/>
          <w:kern w:val="2"/>
          <w:sz w:val="32"/>
          <w:szCs w:val="32"/>
          <w:lang w:val="en-US" w:eastAsia="zh-CN" w:bidi="ar-SA"/>
        </w:rPr>
        <w:t>自然保护区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、文物历史遗迹保护区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；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城市规划区及周边500米范围，建制镇（街道办）规划区及周边500米范围内的区域；重点工业园区及其周边500米范围内的区域；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学校周边500米范围内；法律、法规规定需要特殊保护的其它区域。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雷州中心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城区、饮用水源保护区及各镇划定范围具体如下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：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（一）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雷州中心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城区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中心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城区禁养范围为：</w:t>
      </w:r>
      <w:r>
        <w:rPr>
          <w:rStyle w:val="6"/>
          <w:rFonts w:hint="eastAsia" w:ascii="仿宋_GB2312" w:eastAsia="仿宋_GB2312"/>
          <w:color w:val="333333"/>
          <w:kern w:val="2"/>
          <w:sz w:val="32"/>
          <w:szCs w:val="32"/>
          <w:lang w:val="en-US" w:eastAsia="zh-CN" w:bidi="ar-SA"/>
        </w:rPr>
        <w:t>东至雷祖大道（环半岛公路），南至白沙大道，西至G15沈海高速，北至县道373（改线）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0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（二）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饮用水源保护区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1、雷州青年运河（雷州市区域内）饮用水源保护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28"/>
          <w:szCs w:val="28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一级饮用水源保护区：两岸河堤外坡脚向陆纵深50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的陆域。二级饮用水源保护区：相对一级保护区陆域向陆纵深100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的陆域范围。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2、南渡河饮用水源保护区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一级饮用水源保护区：水域从南渡河水厂取水口上游1000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处（即铁路桥上游约200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处）至南渡河旧渡口河段。陆域为两岸河堤外坡脚向陆纵深100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内。二级饮用水源保护区：水域为除一级保护区外的的水域。陆域从相应二级保护区水域两岸河堤外坡脚向陆纵深100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，除一级保护区外。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西湖水库饮用水源保护区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一级饮用水源保护区：水域为水库全部水域。陆域从正常水位线向陆地纵深100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内。二级饮用水源保护区：陆域从水库西边沿岸至207国道，北边沿岸至雷州工业大道，除一级保护区外。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龙门水库饮用水源保护区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取水口半径300米的范围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。陆域从正常水位线向陆地纵深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2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00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米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内。二级饮用水源保护区：水域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为除一级保护区外的全部水域。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正常水位线向陆纵深2000米内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，除一级保护区外。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东吴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水库多年平均水位对应的高程线（17米）以下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为水库多年平均水位对应的高程线以上200米内，但不超过水库集水区的陆域（除尖山村、潮溪下村、那岭村、东吴村等自然村以外）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。二级饮用水源保护区：陆域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为一级保护区陆域以外向陆纵深2000米不超过水库集水区的陆域范围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曲溪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取水口半径300米的范围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从正常水位线向陆纵深200米内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。二级饮用水源保护区：水域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为除一级保护区外的全部水域。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从正常水位线向陆纵深2000米内，除一级保护区外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迈生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取水口半径300米的范围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从正常水位线向陆纵深200米内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。二级饮用水源保护区：水域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为除一级保护区外的全部水域。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从正常水位线向陆纵深2000米内，除一级保护区外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红心楼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水库饮用水源保护区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一级饮用水源保护区：水域为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取水口半径300米的范围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从正常水位线向陆纵深200米内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。二级饮用水源保护区：水域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为除一级保护区外的全部水域。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陆域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从正常水位线向陆纵深2000米内，除一级保护区外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客路镇集中式地下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hint="default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以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N21°5′57.85″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，E110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19.05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为中心，半径40米的陆域范围，面积5024平方米。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唐家镇集中式地下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以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N2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°5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21.71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，E109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51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18.01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为中心，半径40米的陆域范围，面积5024平方米。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松竹镇集中式地下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以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N2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°5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51.03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，E110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3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7.01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为中心，半径30米的陆域范围，面积2826平方米。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北和镇集中式地下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以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N2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38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45.32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，E109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51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30.55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为中心，半径30米的陆域范围，面积2826平方米。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乌石镇集中式地下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饮用水</w:t>
      </w:r>
      <w:r>
        <w:rPr>
          <w:rStyle w:val="6"/>
          <w:rFonts w:hint="eastAsia" w:ascii="仿宋_GB2312" w:eastAsia="仿宋_GB2312"/>
          <w:b/>
          <w:color w:val="333333"/>
          <w:kern w:val="0"/>
          <w:sz w:val="32"/>
          <w:szCs w:val="32"/>
          <w:lang w:val="en-US" w:eastAsia="zh-CN" w:bidi="ar-SA"/>
        </w:rPr>
        <w:t>水</w:t>
      </w: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源保护区</w:t>
      </w:r>
    </w:p>
    <w:p>
      <w:pPr>
        <w:pStyle w:val="8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一级饮用水源保护区：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以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N2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0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33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36.67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，E109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°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51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′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6.33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″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为中心，半径40米的陆域范围，面积5024平方米。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333333"/>
          <w:kern w:val="0"/>
          <w:sz w:val="32"/>
          <w:szCs w:val="32"/>
          <w:lang w:val="en-US" w:eastAsia="zh-CN" w:bidi="ar-SA"/>
        </w:rPr>
        <w:t>（三）各建制镇（街道办）规划区及周边500米范围内的区域。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3" w:firstLineChars="200"/>
        <w:jc w:val="left"/>
        <w:textAlignment w:val="baseline"/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kern w:val="0"/>
          <w:sz w:val="32"/>
          <w:szCs w:val="32"/>
          <w:lang w:val="en-US" w:eastAsia="zh-CN" w:bidi="ar-SA"/>
        </w:rPr>
        <w:t>二、限养区划定范围：</w:t>
      </w:r>
      <w:r>
        <w:rPr>
          <w:rStyle w:val="6"/>
          <w:rFonts w:ascii="宋体" w:hAnsi="宋体" w:eastAsia="仿宋_GB2312"/>
          <w:kern w:val="0"/>
          <w:sz w:val="32"/>
          <w:szCs w:val="32"/>
          <w:lang w:val="en-US" w:eastAsia="zh-CN" w:bidi="ar-SA"/>
        </w:rPr>
        <w:t> 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0" w:firstLineChars="200"/>
        <w:jc w:val="left"/>
        <w:textAlignment w:val="baseline"/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（一）城市规划禁养区外延500米以内的范围区域；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建制镇（街道办）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规划禁养区外延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500米范围内的区域；</w:t>
      </w: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风景名胜区规划区域外延500米范围内的区域；规模化畜禽养殖场（小区）界周围的卫生防护距离应控制在距离500米以上，种畜禽场应控制在1000米以上。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1" w:leftChars="67" w:firstLine="640" w:firstLineChars="200"/>
        <w:jc w:val="left"/>
        <w:textAlignment w:val="baseline"/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kern w:val="0"/>
          <w:sz w:val="32"/>
          <w:szCs w:val="32"/>
          <w:lang w:val="en-US" w:eastAsia="zh-CN" w:bidi="ar-SA"/>
        </w:rPr>
        <w:t>（二）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雷州青年运河（雷州市区域内）、南渡河、西湖水库、龙门水库</w:t>
      </w:r>
      <w:r>
        <w:rPr>
          <w:rStyle w:val="6"/>
          <w:rFonts w:hint="eastAsia" w:ascii="仿宋_GB2312" w:eastAsia="仿宋_GB2312"/>
          <w:color w:val="333333"/>
          <w:kern w:val="0"/>
          <w:sz w:val="32"/>
          <w:szCs w:val="32"/>
          <w:lang w:val="en-US" w:eastAsia="zh-CN" w:bidi="ar-SA"/>
        </w:rPr>
        <w:t>、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东吴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水库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、曲溪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水库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、迈生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水库</w:t>
      </w:r>
      <w:r>
        <w:rPr>
          <w:rStyle w:val="6"/>
          <w:rFonts w:hint="eastAsia"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、红心楼</w:t>
      </w:r>
      <w:r>
        <w:rPr>
          <w:rStyle w:val="6"/>
          <w:rFonts w:ascii="仿宋_GB2312" w:hAnsi="宋体" w:eastAsia="仿宋_GB2312"/>
          <w:color w:val="333333"/>
          <w:kern w:val="0"/>
          <w:sz w:val="32"/>
          <w:szCs w:val="32"/>
          <w:lang w:val="en-US" w:eastAsia="zh-CN" w:bidi="ar-SA"/>
        </w:rPr>
        <w:t>水库一、二级饮用水源保护区禁养区外延500米的区域。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both"/>
        <w:textAlignment w:val="baseline"/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b/>
          <w:bCs w:val="0"/>
          <w:color w:val="333333"/>
          <w:kern w:val="2"/>
          <w:sz w:val="32"/>
          <w:szCs w:val="32"/>
          <w:lang w:val="en-US" w:eastAsia="zh-CN" w:bidi="ar-SA"/>
        </w:rPr>
        <w:t>三、适养区</w:t>
      </w:r>
      <w:r>
        <w:rPr>
          <w:rStyle w:val="6"/>
          <w:rFonts w:ascii="仿宋_GB2312" w:eastAsia="仿宋_GB2312"/>
          <w:b/>
          <w:bCs w:val="0"/>
          <w:kern w:val="2"/>
          <w:sz w:val="32"/>
          <w:szCs w:val="32"/>
          <w:lang w:val="en-US" w:eastAsia="zh-CN" w:bidi="ar-SA"/>
        </w:rPr>
        <w:t>划定</w:t>
      </w:r>
      <w:r>
        <w:rPr>
          <w:rStyle w:val="6"/>
          <w:rFonts w:ascii="仿宋_GB2312" w:eastAsia="仿宋_GB2312"/>
          <w:b/>
          <w:bCs w:val="0"/>
          <w:color w:val="333333"/>
          <w:kern w:val="2"/>
          <w:sz w:val="32"/>
          <w:szCs w:val="32"/>
          <w:lang w:val="en-US" w:eastAsia="zh-CN" w:bidi="ar-SA"/>
        </w:rPr>
        <w:t>范围</w:t>
      </w:r>
      <w:r>
        <w:rPr>
          <w:rStyle w:val="6"/>
          <w:rFonts w:ascii="仿宋_GB2312" w:eastAsia="仿宋_GB2312"/>
          <w:b/>
          <w:color w:val="333333"/>
          <w:kern w:val="2"/>
          <w:sz w:val="32"/>
          <w:szCs w:val="32"/>
          <w:lang w:val="en-US" w:eastAsia="zh-CN" w:bidi="ar-SA"/>
        </w:rPr>
        <w:t>：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除禁养区和限养区以外的其他区域。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both"/>
        <w:textAlignment w:val="baseline"/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kern w:val="2"/>
          <w:sz w:val="32"/>
          <w:szCs w:val="32"/>
          <w:lang w:val="en-US" w:eastAsia="zh-CN" w:bidi="ar-SA"/>
        </w:rPr>
        <w:t>四、禁养区禁止养殖畜禽。</w:t>
      </w:r>
      <w:r>
        <w:rPr>
          <w:rStyle w:val="6"/>
          <w:rFonts w:ascii="仿宋_GB2312" w:hAnsi="宋体" w:eastAsia="仿宋_GB2312"/>
          <w:kern w:val="2"/>
          <w:sz w:val="32"/>
          <w:szCs w:val="32"/>
          <w:lang w:val="en-US" w:eastAsia="zh-CN" w:bidi="ar-SA"/>
        </w:rPr>
        <w:t>本通告发布之前已在禁养区</w:t>
      </w:r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内养殖的畜禽及建成的畜禽养殖场，限于本通告施行之日起四个月内自行清理，搬迁或关闭，并拆除相关设施。拒不执行或不按规定执行限期搬迁、关闭要求的，由各镇人民政府按属地管理组织相关部门按照有关</w:t>
      </w:r>
      <w:r>
        <w:rPr>
          <w:rStyle w:val="6"/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法律和</w:t>
      </w:r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规定予以关闭、取缔，并拆除相关设施。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638" w:leftChars="304" w:firstLine="0" w:firstLineChars="0"/>
        <w:jc w:val="both"/>
        <w:textAlignment w:val="baseline"/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五、在限养区内，禁止新建、改建、扩建畜禽养殖场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jc w:val="both"/>
        <w:textAlignment w:val="baseline"/>
        <w:rPr>
          <w:rStyle w:val="6"/>
          <w:rFonts w:ascii="仿宋_GB2312" w:hAnsi="宋体" w:eastAsia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限养区内原有的畜禽养殖场，由所在镇人民政府责令限期治理，控制畜禽养殖规模，严格落实污染防治措施。限期内达不到要求的，由所在镇人民政府责令限期搬迁或关闭。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both"/>
        <w:textAlignment w:val="baseline"/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适养区内新建、改扩建畜禽养殖场应当到</w:t>
      </w:r>
      <w:r>
        <w:rPr>
          <w:rStyle w:val="6"/>
          <w:rFonts w:hint="eastAsia"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农业农村局</w:t>
      </w:r>
      <w:r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Style w:val="6"/>
          <w:rFonts w:hint="eastAsia"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生态环境局</w:t>
      </w:r>
      <w:r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Style w:val="6"/>
          <w:rFonts w:hint="eastAsia"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自然资源局</w:t>
      </w:r>
      <w:r>
        <w:rPr>
          <w:rStyle w:val="6"/>
          <w:rFonts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等部门办理报批、备案手续，并做到环保设施与其他主体设施“同时设计、同时建设、同时投入使用”</w:t>
      </w:r>
      <w:r>
        <w:rPr>
          <w:rStyle w:val="6"/>
          <w:rFonts w:hint="eastAsia" w:ascii="仿宋_GB2312" w:hAnsi="宋体" w:eastAsia="仿宋_GB2312"/>
          <w:b/>
          <w:color w:val="000000"/>
          <w:kern w:val="2"/>
          <w:sz w:val="32"/>
          <w:szCs w:val="32"/>
          <w:lang w:val="en-US" w:eastAsia="zh-CN" w:bidi="ar-SA"/>
        </w:rPr>
        <w:t>。</w:t>
      </w:r>
      <w:bookmarkStart w:id="0" w:name="_GoBack"/>
      <w:bookmarkEnd w:id="0"/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 xml:space="preserve"> 在适养区内，推广生态养殖，推进规模化、集约化养殖。规模化养殖场要落实污染防治措施，污染物排放不得超过国家和地方规定的排放标准要求。</w:t>
      </w:r>
      <w:r>
        <w:rPr>
          <w:rStyle w:val="6"/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否则将</w:t>
      </w:r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依照相关法律法规进行处</w:t>
      </w:r>
      <w:r>
        <w:rPr>
          <w:rStyle w:val="6"/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理</w:t>
      </w:r>
      <w:r>
        <w:rPr>
          <w:rStyle w:val="6"/>
          <w:rFonts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both"/>
        <w:textAlignment w:val="baseline"/>
        <w:rPr>
          <w:rStyle w:val="6"/>
          <w:rFonts w:ascii="仿宋_GB2312" w:eastAsia="仿宋_GB2312"/>
          <w:b/>
          <w:color w:val="333333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b/>
          <w:color w:val="333333"/>
          <w:kern w:val="2"/>
          <w:sz w:val="32"/>
          <w:szCs w:val="32"/>
          <w:lang w:val="en-US" w:eastAsia="zh-CN" w:bidi="ar-SA"/>
        </w:rPr>
        <w:t>七、本通告自发布之日起施行。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原《</w:t>
      </w:r>
      <w:r>
        <w:rPr>
          <w:rStyle w:val="6"/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  <w:t>雷州市人民政府关于划定全市畜禽养殖禁养区限养区适养区的通告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》（雷府办[201</w:t>
      </w:r>
      <w:r>
        <w:rPr>
          <w:rStyle w:val="6"/>
          <w:rFonts w:hint="eastAsia" w:ascii="仿宋_GB2312" w:eastAsia="仿宋_GB2312"/>
          <w:color w:val="333333"/>
          <w:kern w:val="2"/>
          <w:sz w:val="32"/>
          <w:szCs w:val="32"/>
          <w:lang w:val="en-US" w:eastAsia="zh-CN" w:bidi="ar-SA"/>
        </w:rPr>
        <w:t>3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]</w:t>
      </w:r>
      <w:r>
        <w:rPr>
          <w:rStyle w:val="6"/>
          <w:rFonts w:hint="eastAsia" w:ascii="仿宋_GB2312" w:eastAsia="仿宋_GB2312"/>
          <w:color w:val="333333"/>
          <w:kern w:val="2"/>
          <w:sz w:val="32"/>
          <w:szCs w:val="32"/>
          <w:lang w:val="en-US" w:eastAsia="zh-CN" w:bidi="ar-SA"/>
        </w:rPr>
        <w:t>100</w:t>
      </w: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号）同时废止。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both"/>
        <w:textAlignment w:val="baseline"/>
        <w:rPr>
          <w:rStyle w:val="6"/>
          <w:rFonts w:ascii="仿宋_GB2312" w:eastAsia="仿宋_GB2312"/>
          <w:color w:val="333333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both"/>
        <w:textAlignment w:val="baseline"/>
        <w:rPr>
          <w:rStyle w:val="6"/>
          <w:rFonts w:ascii="仿宋_GB2312" w:eastAsia="仿宋_GB2312"/>
          <w:color w:val="333333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120" w:firstLineChars="1600"/>
        <w:jc w:val="both"/>
        <w:textAlignment w:val="baseline"/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color w:val="333333"/>
          <w:kern w:val="2"/>
          <w:sz w:val="32"/>
          <w:szCs w:val="32"/>
          <w:lang w:val="en-US" w:eastAsia="zh-CN" w:bidi="ar-SA"/>
        </w:rPr>
        <w:t>雷州市人民政府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080" w:firstLineChars="1900"/>
        <w:jc w:val="both"/>
        <w:textAlignment w:val="baseline"/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20</w:t>
      </w:r>
      <w:r>
        <w:rPr>
          <w:rStyle w:val="6"/>
          <w:rFonts w:hint="eastAsia" w:ascii="仿宋_GB2312" w:eastAsia="仿宋_GB2312"/>
          <w:kern w:val="2"/>
          <w:sz w:val="32"/>
          <w:szCs w:val="32"/>
          <w:lang w:val="en-US" w:eastAsia="zh-CN" w:bidi="ar-SA"/>
        </w:rPr>
        <w:t>20</w:t>
      </w:r>
      <w:r>
        <w:rPr>
          <w:rStyle w:val="6"/>
          <w:rFonts w:ascii="仿宋_GB2312" w:eastAsia="仿宋_GB2312"/>
          <w:kern w:val="2"/>
          <w:sz w:val="32"/>
          <w:szCs w:val="32"/>
          <w:lang w:val="en-US" w:eastAsia="zh-CN" w:bidi="ar-SA"/>
        </w:rPr>
        <w:t>年 月 日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center" w:y="1"/>
      <w:widowControl/>
      <w:snapToGrid w:val="0"/>
      <w:spacing w:line="240" w:lineRule="auto"/>
      <w:jc w:val="left"/>
      <w:textAlignment w:val="baseline"/>
      <w:rPr>
        <w:rStyle w:val="9"/>
        <w:rFonts w:eastAsia="宋体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spacing w:line="240" w:lineRule="auto"/>
      <w:jc w:val="left"/>
      <w:textAlignment w:val="baseline"/>
      <w:rPr>
        <w:rStyle w:val="6"/>
        <w:rFonts w:eastAsia="宋体"/>
        <w:kern w:val="2"/>
        <w:sz w:val="18"/>
        <w:szCs w:val="18"/>
        <w:lang w:val="en-US"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1D7256"/>
    <w:multiLevelType w:val="singleLevel"/>
    <w:tmpl w:val="E51D725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28C2A4B"/>
    <w:multiLevelType w:val="singleLevel"/>
    <w:tmpl w:val="228C2A4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4166"/>
    <w:rsid w:val="000F4534"/>
    <w:rsid w:val="001A2085"/>
    <w:rsid w:val="001F2335"/>
    <w:rsid w:val="00280E37"/>
    <w:rsid w:val="002B1B29"/>
    <w:rsid w:val="0031467C"/>
    <w:rsid w:val="00366763"/>
    <w:rsid w:val="00502B5F"/>
    <w:rsid w:val="0050605D"/>
    <w:rsid w:val="00511CD5"/>
    <w:rsid w:val="00532984"/>
    <w:rsid w:val="005C405C"/>
    <w:rsid w:val="005D577A"/>
    <w:rsid w:val="0061409A"/>
    <w:rsid w:val="00692A91"/>
    <w:rsid w:val="00787799"/>
    <w:rsid w:val="007B10BD"/>
    <w:rsid w:val="007C3606"/>
    <w:rsid w:val="007E77BD"/>
    <w:rsid w:val="008061E2"/>
    <w:rsid w:val="008D3896"/>
    <w:rsid w:val="008E7201"/>
    <w:rsid w:val="009E10AB"/>
    <w:rsid w:val="009F43A7"/>
    <w:rsid w:val="00A87B1A"/>
    <w:rsid w:val="00B32767"/>
    <w:rsid w:val="00B801F2"/>
    <w:rsid w:val="00B91B30"/>
    <w:rsid w:val="00BB64D2"/>
    <w:rsid w:val="00C135E9"/>
    <w:rsid w:val="00C8267D"/>
    <w:rsid w:val="00D815E2"/>
    <w:rsid w:val="00DB7405"/>
    <w:rsid w:val="00E6716E"/>
    <w:rsid w:val="00EA22E7"/>
    <w:rsid w:val="00EF441F"/>
    <w:rsid w:val="00F5616C"/>
    <w:rsid w:val="00FD5BCF"/>
    <w:rsid w:val="00FD6901"/>
    <w:rsid w:val="049D6509"/>
    <w:rsid w:val="0EAE6F80"/>
    <w:rsid w:val="176713CF"/>
    <w:rsid w:val="2D153C93"/>
    <w:rsid w:val="30CA79AC"/>
    <w:rsid w:val="35491A1F"/>
    <w:rsid w:val="39192428"/>
    <w:rsid w:val="6361015C"/>
    <w:rsid w:val="71263212"/>
    <w:rsid w:val="72872BB8"/>
    <w:rsid w:val="74AD3625"/>
    <w:rsid w:val="7553748B"/>
    <w:rsid w:val="7AC52BC2"/>
    <w:rsid w:val="7E8A7E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spacing w:line="240" w:lineRule="auto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  <w:textAlignment w:val="baseline"/>
    </w:pPr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both"/>
      <w:textAlignment w:val="baseline"/>
    </w:pPr>
    <w:rPr>
      <w:rFonts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  <w:style w:type="paragraph" w:customStyle="1" w:styleId="8">
    <w:name w:val="HtmlNormal"/>
    <w:basedOn w:val="1"/>
    <w:qFormat/>
    <w:uiPriority w:val="0"/>
    <w:pPr>
      <w:widowControl/>
      <w:spacing w:before="100" w:beforeAutospacing="1" w:after="100" w:afterAutospacing="1" w:line="240" w:lineRule="auto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  <w:style w:type="character" w:customStyle="1" w:styleId="9">
    <w:name w:val="PageNumber"/>
    <w:basedOn w:val="6"/>
    <w:link w:val="1"/>
    <w:qFormat/>
    <w:uiPriority w:val="0"/>
  </w:style>
  <w:style w:type="paragraph" w:customStyle="1" w:styleId="10">
    <w:name w:val="NavPane"/>
    <w:basedOn w:val="1"/>
    <w:semiHidden/>
    <w:qFormat/>
    <w:uiPriority w:val="0"/>
    <w:pPr>
      <w:shd w:val="clear" w:color="auto" w:fill="000080"/>
      <w:spacing w:line="240" w:lineRule="auto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Office_11.1.0.9440_F1E327BC-269C-435d-A152-05C5408002CA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2019-11-13T02:36:00Z</dcterms:created>
  <dc:creator>Administrator</dc:creator>
  <cp:lastModifiedBy>shine</cp:lastModifiedBy>
  <cp:lastPrinted>2020-02-28T03:09:00Z</cp:lastPrinted>
  <dcterms:modified xsi:type="dcterms:W3CDTF">2020-03-04T10:00:36Z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