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p>
    <w:p>
      <w:pPr>
        <w:rPr>
          <w:rFonts w:hint="eastAsia" w:ascii="仿宋" w:hAnsi="仿宋" w:eastAsia="仿宋" w:cs="仿宋"/>
          <w:sz w:val="32"/>
          <w:szCs w:val="32"/>
        </w:rPr>
      </w:pPr>
    </w:p>
    <w:p>
      <w:pPr>
        <w:jc w:val="right"/>
        <w:rPr>
          <w:rFonts w:hint="eastAsia" w:ascii="仿宋" w:hAnsi="仿宋" w:eastAsia="仿宋" w:cs="仿宋"/>
          <w:sz w:val="32"/>
          <w:szCs w:val="32"/>
        </w:rPr>
      </w:pPr>
      <w:r>
        <w:rPr>
          <w:rFonts w:hint="eastAsia" w:ascii="仿宋" w:hAnsi="仿宋" w:eastAsia="仿宋" w:cs="仿宋"/>
          <w:sz w:val="32"/>
          <w:szCs w:val="32"/>
        </w:rPr>
        <w:t>雷环建〔201</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42 </w:t>
      </w:r>
      <w:r>
        <w:rPr>
          <w:rFonts w:hint="eastAsia" w:ascii="仿宋" w:hAnsi="仿宋" w:eastAsia="仿宋" w:cs="仿宋"/>
          <w:sz w:val="32"/>
          <w:szCs w:val="32"/>
        </w:rPr>
        <w:t>号</w:t>
      </w:r>
      <w:r>
        <w:rPr>
          <w:rFonts w:hint="eastAsia" w:ascii="仿宋" w:hAnsi="仿宋" w:eastAsia="仿宋" w:cs="仿宋"/>
          <w:sz w:val="32"/>
          <w:szCs w:val="32"/>
          <w:lang w:val="en-US" w:eastAsia="zh-CN"/>
        </w:rPr>
        <w:t xml:space="preserve"> </w:t>
      </w:r>
    </w:p>
    <w:p>
      <w:pPr>
        <w:rPr>
          <w:rFonts w:hint="eastAsia" w:ascii="仿宋" w:hAnsi="仿宋" w:eastAsia="仿宋" w:cs="仿宋"/>
          <w:sz w:val="32"/>
          <w:szCs w:val="32"/>
        </w:rPr>
      </w:pPr>
    </w:p>
    <w:p>
      <w:pPr>
        <w:jc w:val="center"/>
        <w:rPr>
          <w:rFonts w:hint="eastAsia" w:ascii="仿宋" w:hAnsi="仿宋" w:eastAsia="仿宋" w:cs="仿宋"/>
          <w:b/>
          <w:bCs/>
          <w:sz w:val="36"/>
          <w:szCs w:val="36"/>
        </w:rPr>
      </w:pPr>
      <w:r>
        <w:rPr>
          <w:rFonts w:hint="eastAsia" w:ascii="仿宋" w:hAnsi="仿宋" w:eastAsia="仿宋" w:cs="仿宋"/>
          <w:b/>
          <w:bCs/>
          <w:sz w:val="36"/>
          <w:szCs w:val="36"/>
        </w:rPr>
        <w:t>关于雷州市雷南石料有限公司雷高响水拖</w:t>
      </w:r>
    </w:p>
    <w:p>
      <w:pPr>
        <w:jc w:val="center"/>
        <w:rPr>
          <w:rFonts w:hint="eastAsia" w:ascii="仿宋" w:hAnsi="仿宋" w:eastAsia="仿宋" w:cs="仿宋"/>
          <w:b/>
          <w:bCs/>
          <w:sz w:val="36"/>
          <w:szCs w:val="36"/>
        </w:rPr>
      </w:pPr>
      <w:r>
        <w:rPr>
          <w:rFonts w:hint="eastAsia" w:ascii="仿宋" w:hAnsi="仿宋" w:eastAsia="仿宋" w:cs="仿宋"/>
          <w:b/>
          <w:bCs/>
          <w:sz w:val="36"/>
          <w:szCs w:val="36"/>
        </w:rPr>
        <w:t>建筑用玄武岩矿开采工程环境影响报告表</w:t>
      </w:r>
      <w:r>
        <w:rPr>
          <w:rFonts w:hint="eastAsia" w:ascii="仿宋" w:hAnsi="仿宋" w:eastAsia="仿宋" w:cs="仿宋"/>
          <w:b/>
          <w:bCs/>
          <w:sz w:val="36"/>
          <w:szCs w:val="36"/>
          <w:lang w:val="zh-CN"/>
        </w:rPr>
        <w:t>的批复</w:t>
      </w:r>
    </w:p>
    <w:p>
      <w:pPr>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雷州市雷南石料有限公司：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你</w:t>
      </w:r>
      <w:r>
        <w:rPr>
          <w:rFonts w:hint="eastAsia" w:ascii="仿宋" w:hAnsi="仿宋" w:eastAsia="仿宋" w:cs="仿宋"/>
          <w:sz w:val="32"/>
          <w:szCs w:val="32"/>
          <w:lang w:eastAsia="zh-CN"/>
        </w:rPr>
        <w:t>公司</w:t>
      </w:r>
      <w:r>
        <w:rPr>
          <w:rFonts w:hint="eastAsia" w:ascii="仿宋" w:hAnsi="仿宋" w:eastAsia="仿宋" w:cs="仿宋"/>
          <w:sz w:val="32"/>
          <w:szCs w:val="32"/>
        </w:rPr>
        <w:t>报送的《雷州市雷南石料有限公司雷高响水拖建筑用玄武岩矿开采工程环境影响报告表》（以下简称报告表）</w:t>
      </w:r>
      <w:r>
        <w:rPr>
          <w:rFonts w:hint="eastAsia" w:ascii="仿宋" w:hAnsi="仿宋" w:eastAsia="仿宋" w:cs="仿宋"/>
          <w:sz w:val="32"/>
          <w:szCs w:val="32"/>
          <w:lang w:eastAsia="zh-CN"/>
        </w:rPr>
        <w:t>及有关材料</w:t>
      </w:r>
      <w:r>
        <w:rPr>
          <w:rFonts w:hint="eastAsia" w:ascii="仿宋" w:hAnsi="仿宋" w:eastAsia="仿宋" w:cs="仿宋"/>
          <w:sz w:val="32"/>
          <w:szCs w:val="32"/>
        </w:rPr>
        <w:t>收悉，</w:t>
      </w:r>
      <w:r>
        <w:rPr>
          <w:rFonts w:hint="eastAsia" w:ascii="仿宋" w:hAnsi="仿宋" w:eastAsia="仿宋" w:cs="仿宋"/>
          <w:sz w:val="32"/>
          <w:szCs w:val="32"/>
          <w:lang w:val="en-US" w:eastAsia="zh-CN"/>
        </w:rPr>
        <w:t>经研究</w:t>
      </w:r>
      <w:r>
        <w:rPr>
          <w:rFonts w:hint="eastAsia" w:ascii="仿宋" w:hAnsi="仿宋" w:eastAsia="仿宋" w:cs="仿宋"/>
          <w:sz w:val="32"/>
          <w:szCs w:val="32"/>
        </w:rPr>
        <w:t>，批复如下：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w:t>
      </w:r>
      <w:r>
        <w:rPr>
          <w:rFonts w:hint="eastAsia" w:ascii="仿宋" w:hAnsi="仿宋" w:eastAsia="仿宋" w:cs="仿宋"/>
          <w:sz w:val="32"/>
          <w:szCs w:val="32"/>
        </w:rPr>
        <w:t>根据报告</w:t>
      </w:r>
      <w:r>
        <w:rPr>
          <w:rFonts w:hint="eastAsia" w:ascii="仿宋" w:hAnsi="仿宋" w:eastAsia="仿宋" w:cs="仿宋"/>
          <w:sz w:val="32"/>
          <w:szCs w:val="32"/>
          <w:lang w:val="en-US" w:eastAsia="zh-CN"/>
        </w:rPr>
        <w:t>表</w:t>
      </w:r>
      <w:r>
        <w:rPr>
          <w:rFonts w:hint="eastAsia" w:ascii="仿宋" w:hAnsi="仿宋" w:eastAsia="仿宋" w:cs="仿宋"/>
          <w:sz w:val="32"/>
          <w:szCs w:val="32"/>
        </w:rPr>
        <w:t>结论和</w:t>
      </w:r>
      <w:r>
        <w:rPr>
          <w:rFonts w:hint="eastAsia" w:ascii="仿宋" w:hAnsi="仿宋" w:eastAsia="仿宋" w:cs="仿宋"/>
          <w:sz w:val="32"/>
          <w:szCs w:val="32"/>
          <w:lang w:val="en-US" w:eastAsia="zh-CN"/>
        </w:rPr>
        <w:t>我</w:t>
      </w:r>
      <w:r>
        <w:rPr>
          <w:rFonts w:hint="eastAsia" w:ascii="仿宋" w:hAnsi="仿宋" w:eastAsia="仿宋" w:cs="仿宋"/>
          <w:sz w:val="32"/>
          <w:szCs w:val="32"/>
        </w:rPr>
        <w:t>局审批领导小组意见，在项目符合相关产业和技术政策、选址符合</w:t>
      </w:r>
      <w:r>
        <w:rPr>
          <w:rFonts w:hint="eastAsia" w:ascii="仿宋" w:hAnsi="仿宋" w:eastAsia="仿宋" w:cs="仿宋"/>
          <w:sz w:val="32"/>
          <w:szCs w:val="32"/>
          <w:lang w:val="en-US" w:eastAsia="zh-CN"/>
        </w:rPr>
        <w:t>相关</w:t>
      </w:r>
      <w:r>
        <w:rPr>
          <w:rFonts w:hint="eastAsia" w:ascii="仿宋" w:hAnsi="仿宋" w:eastAsia="仿宋" w:cs="仿宋"/>
          <w:sz w:val="32"/>
          <w:szCs w:val="32"/>
        </w:rPr>
        <w:t>规划、做到污染物稳定达标排放，确保环境安全的前提下，我局原则同意你单位按报告</w:t>
      </w:r>
      <w:r>
        <w:rPr>
          <w:rFonts w:hint="eastAsia" w:ascii="仿宋" w:hAnsi="仿宋" w:eastAsia="仿宋" w:cs="仿宋"/>
          <w:sz w:val="32"/>
          <w:szCs w:val="32"/>
          <w:lang w:val="en-US" w:eastAsia="zh-CN"/>
        </w:rPr>
        <w:t>表</w:t>
      </w:r>
      <w:r>
        <w:rPr>
          <w:rFonts w:hint="eastAsia" w:ascii="仿宋" w:hAnsi="仿宋" w:eastAsia="仿宋" w:cs="仿宋"/>
          <w:sz w:val="32"/>
          <w:szCs w:val="32"/>
        </w:rPr>
        <w:t>中所列建设项目的性质、规模、地点、工艺和拟采取的环境保护措施要求建设该项目。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该</w:t>
      </w:r>
      <w:r>
        <w:rPr>
          <w:rFonts w:hint="eastAsia" w:ascii="仿宋" w:hAnsi="仿宋" w:eastAsia="仿宋" w:cs="仿宋"/>
          <w:sz w:val="32"/>
          <w:szCs w:val="32"/>
        </w:rPr>
        <w:t>项目位于雷州市雷南石料有限公司建筑用玄武岩矿Ⅳ采区，位于雷州市区132°方向，直距约18 km处，采区中心地理坐标东经110°13′28″，北纬20°47′00″。占地面积为0.0308km2。</w:t>
      </w:r>
      <w:r>
        <w:rPr>
          <w:rFonts w:hint="eastAsia" w:ascii="仿宋" w:hAnsi="仿宋" w:eastAsia="仿宋" w:cs="仿宋"/>
          <w:sz w:val="32"/>
          <w:szCs w:val="32"/>
          <w:lang w:val="en-US" w:eastAsia="zh-CN"/>
        </w:rPr>
        <w:t>该矿区面积为</w:t>
      </w:r>
      <w:r>
        <w:rPr>
          <w:rFonts w:hint="eastAsia" w:ascii="仿宋" w:hAnsi="仿宋" w:eastAsia="仿宋" w:cs="仿宋"/>
          <w:sz w:val="32"/>
          <w:szCs w:val="32"/>
        </w:rPr>
        <w:t>0.0308km2</w:t>
      </w:r>
      <w:r>
        <w:rPr>
          <w:rFonts w:hint="eastAsia" w:ascii="仿宋" w:hAnsi="仿宋" w:eastAsia="仿宋" w:cs="仿宋"/>
          <w:sz w:val="32"/>
          <w:szCs w:val="32"/>
          <w:lang w:eastAsia="zh-CN"/>
        </w:rPr>
        <w:t>，</w:t>
      </w:r>
      <w:r>
        <w:rPr>
          <w:rFonts w:hint="eastAsia" w:ascii="仿宋" w:hAnsi="仿宋" w:eastAsia="仿宋" w:cs="仿宋"/>
          <w:sz w:val="32"/>
          <w:szCs w:val="32"/>
        </w:rPr>
        <w:t>开采方式</w:t>
      </w:r>
      <w:r>
        <w:rPr>
          <w:rFonts w:hint="eastAsia" w:ascii="仿宋" w:hAnsi="仿宋" w:eastAsia="仿宋" w:cs="仿宋"/>
          <w:sz w:val="32"/>
          <w:szCs w:val="32"/>
          <w:lang w:val="en-US" w:eastAsia="zh-CN"/>
        </w:rPr>
        <w:t>为</w:t>
      </w:r>
      <w:r>
        <w:rPr>
          <w:rFonts w:hint="eastAsia" w:ascii="仿宋" w:hAnsi="仿宋" w:eastAsia="仿宋" w:cs="仿宋"/>
          <w:sz w:val="32"/>
          <w:szCs w:val="32"/>
        </w:rPr>
        <w:t>露天开采</w:t>
      </w:r>
      <w:r>
        <w:rPr>
          <w:rFonts w:hint="eastAsia" w:ascii="仿宋" w:hAnsi="仿宋" w:eastAsia="仿宋" w:cs="仿宋"/>
          <w:sz w:val="32"/>
          <w:szCs w:val="32"/>
          <w:lang w:eastAsia="zh-CN"/>
        </w:rPr>
        <w:t>，</w:t>
      </w:r>
      <w:r>
        <w:rPr>
          <w:rFonts w:hint="eastAsia" w:ascii="仿宋" w:hAnsi="仿宋" w:eastAsia="仿宋" w:cs="仿宋"/>
          <w:sz w:val="32"/>
          <w:szCs w:val="32"/>
        </w:rPr>
        <w:t>生产规模</w:t>
      </w:r>
      <w:r>
        <w:rPr>
          <w:rFonts w:hint="eastAsia" w:ascii="仿宋" w:hAnsi="仿宋" w:eastAsia="仿宋" w:cs="仿宋"/>
          <w:sz w:val="32"/>
          <w:szCs w:val="32"/>
          <w:lang w:val="en-US" w:eastAsia="zh-CN"/>
        </w:rPr>
        <w:t>为</w:t>
      </w:r>
      <w:r>
        <w:rPr>
          <w:rFonts w:hint="eastAsia" w:ascii="仿宋" w:hAnsi="仿宋" w:eastAsia="仿宋" w:cs="仿宋"/>
          <w:sz w:val="32"/>
          <w:szCs w:val="32"/>
        </w:rPr>
        <w:t>10万m3/a</w:t>
      </w:r>
      <w:r>
        <w:rPr>
          <w:rFonts w:hint="eastAsia" w:ascii="仿宋" w:hAnsi="仿宋" w:eastAsia="仿宋" w:cs="仿宋"/>
          <w:sz w:val="32"/>
          <w:szCs w:val="32"/>
          <w:lang w:eastAsia="zh-CN"/>
        </w:rPr>
        <w:t>，</w:t>
      </w:r>
      <w:r>
        <w:rPr>
          <w:rFonts w:hint="eastAsia" w:ascii="仿宋" w:hAnsi="仿宋" w:eastAsia="仿宋" w:cs="仿宋"/>
          <w:sz w:val="32"/>
          <w:szCs w:val="32"/>
        </w:rPr>
        <w:t>开采矿种</w:t>
      </w:r>
      <w:r>
        <w:rPr>
          <w:rFonts w:hint="eastAsia" w:ascii="仿宋" w:hAnsi="仿宋" w:eastAsia="仿宋" w:cs="仿宋"/>
          <w:sz w:val="32"/>
          <w:szCs w:val="32"/>
          <w:lang w:val="en-US" w:eastAsia="zh-CN"/>
        </w:rPr>
        <w:t>为</w:t>
      </w:r>
      <w:r>
        <w:rPr>
          <w:rFonts w:hint="eastAsia" w:ascii="仿宋" w:hAnsi="仿宋" w:eastAsia="仿宋" w:cs="仿宋"/>
          <w:sz w:val="32"/>
          <w:szCs w:val="32"/>
        </w:rPr>
        <w:t>建筑用玄武岩</w:t>
      </w:r>
      <w:r>
        <w:rPr>
          <w:rFonts w:hint="eastAsia" w:ascii="仿宋" w:hAnsi="仿宋" w:eastAsia="仿宋" w:cs="仿宋"/>
          <w:sz w:val="32"/>
          <w:szCs w:val="32"/>
          <w:lang w:eastAsia="zh-CN"/>
        </w:rPr>
        <w:t>，</w:t>
      </w:r>
      <w:r>
        <w:rPr>
          <w:rFonts w:hint="eastAsia" w:ascii="仿宋" w:hAnsi="仿宋" w:eastAsia="仿宋" w:cs="仿宋"/>
          <w:sz w:val="32"/>
          <w:szCs w:val="32"/>
        </w:rPr>
        <w:t>开采标高+9m至-9m</w:t>
      </w:r>
      <w:r>
        <w:rPr>
          <w:rFonts w:hint="eastAsia" w:ascii="仿宋" w:hAnsi="仿宋" w:eastAsia="仿宋" w:cs="仿宋"/>
          <w:sz w:val="32"/>
          <w:szCs w:val="32"/>
          <w:lang w:eastAsia="zh-CN"/>
        </w:rPr>
        <w:t>。</w:t>
      </w: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二、</w:t>
      </w:r>
      <w:r>
        <w:rPr>
          <w:rFonts w:hint="eastAsia" w:ascii="仿宋" w:hAnsi="仿宋" w:eastAsia="仿宋" w:cs="仿宋"/>
          <w:sz w:val="32"/>
          <w:szCs w:val="32"/>
        </w:rPr>
        <w:t>按照“清污分流、雨污分流、一水多用”的原则最大限度减少新鲜水消耗和污水排放。注水凿岩及矿石钻孔冷却</w:t>
      </w:r>
      <w:r>
        <w:rPr>
          <w:rFonts w:hint="eastAsia" w:ascii="仿宋" w:hAnsi="仿宋" w:eastAsia="仿宋" w:cs="仿宋"/>
          <w:sz w:val="32"/>
          <w:szCs w:val="32"/>
          <w:lang w:val="en-US" w:eastAsia="zh-CN"/>
        </w:rPr>
        <w:t>水</w:t>
      </w:r>
      <w:r>
        <w:rPr>
          <w:rFonts w:hint="eastAsia" w:ascii="仿宋" w:hAnsi="仿宋" w:eastAsia="仿宋" w:cs="仿宋"/>
          <w:sz w:val="32"/>
          <w:szCs w:val="32"/>
        </w:rPr>
        <w:t>、采石场洒水抑尘、矿区淋滤水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运输道路洒水等生产废水</w:t>
      </w:r>
      <w:r>
        <w:rPr>
          <w:rFonts w:hint="eastAsia" w:ascii="仿宋" w:hAnsi="仿宋" w:eastAsia="仿宋" w:cs="仿宋"/>
          <w:sz w:val="32"/>
          <w:szCs w:val="32"/>
        </w:rPr>
        <w:t>经收集后通过沉淀池处理后回用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不外排。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加强废气污染防治。切实落实好生产过程中钻孔、爆破、挖掘等各环节产生的无组织废气的污染防治措施。钻孔、爆破要采用湿法凿岩；在钻孔、爆破等相关产污工段设置喷头喷水强制降尘；装载时要在装货前对碎石进行喷水处理；矿区道路路面要进行定时洒水降尘减少道路运输造成的扬尘污染，确保场区无组织废气达</w:t>
      </w:r>
      <w:r>
        <w:rPr>
          <w:rFonts w:hint="eastAsia" w:ascii="仿宋" w:hAnsi="仿宋" w:eastAsia="仿宋" w:cs="仿宋"/>
          <w:sz w:val="32"/>
          <w:szCs w:val="32"/>
          <w:lang w:val="en-US" w:eastAsia="zh-CN"/>
        </w:rPr>
        <w:t>到</w:t>
      </w:r>
      <w:r>
        <w:rPr>
          <w:rFonts w:hint="eastAsia" w:ascii="仿宋" w:hAnsi="仿宋" w:eastAsia="仿宋" w:cs="仿宋"/>
          <w:sz w:val="32"/>
          <w:szCs w:val="32"/>
        </w:rPr>
        <w:t>广东省《大气污染物排放限值》（DB 44/26-2001）中第二时段关于颗粒物的无组织排放监控限值要求，在周界外浓度最高点监控的颗粒物浓度≤1.0mg/m³。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　　</w:t>
      </w:r>
      <w:r>
        <w:rPr>
          <w:rFonts w:hint="eastAsia" w:ascii="仿宋" w:hAnsi="仿宋" w:eastAsia="仿宋" w:cs="仿宋"/>
          <w:sz w:val="32"/>
          <w:szCs w:val="32"/>
          <w:lang w:val="en-US" w:eastAsia="zh-CN"/>
        </w:rPr>
        <w:t>四</w:t>
      </w:r>
      <w:r>
        <w:rPr>
          <w:rFonts w:hint="eastAsia" w:ascii="仿宋" w:hAnsi="仿宋" w:eastAsia="仿宋" w:cs="仿宋"/>
          <w:sz w:val="32"/>
          <w:szCs w:val="32"/>
        </w:rPr>
        <w:t>、加强噪声的污染防治。项目选用低噪声生产设备，并在破碎机、筛分机安装减振垫、隔板，减小噪声源强；采石场爆破时要采用固定时段，尽量避开人员休息时间，夜间禁止爆破及采矿作业，并采取集中爆破的方式进行；同时加强生产机械的日常维护和项目区域的降噪，确保厂界噪声达标排放</w:t>
      </w:r>
      <w:r>
        <w:rPr>
          <w:rFonts w:hint="eastAsia" w:ascii="仿宋" w:hAnsi="仿宋" w:eastAsia="仿宋" w:cs="仿宋"/>
          <w:sz w:val="32"/>
          <w:szCs w:val="32"/>
          <w:lang w:val="en-US" w:eastAsia="zh-CN"/>
        </w:rPr>
        <w:t>且不扰民</w:t>
      </w:r>
      <w:r>
        <w:rPr>
          <w:rFonts w:hint="eastAsia" w:ascii="仿宋" w:hAnsi="仿宋" w:eastAsia="仿宋" w:cs="仿宋"/>
          <w:sz w:val="32"/>
          <w:szCs w:val="32"/>
        </w:rPr>
        <w:t>。</w:t>
      </w:r>
      <w:r>
        <w:rPr>
          <w:rFonts w:hint="eastAsia" w:ascii="仿宋" w:hAnsi="仿宋" w:eastAsia="仿宋" w:cs="仿宋"/>
          <w:sz w:val="32"/>
          <w:szCs w:val="32"/>
          <w:lang w:val="en-US" w:eastAsia="zh-CN"/>
        </w:rPr>
        <w:t>厂界西南面</w:t>
      </w:r>
      <w:r>
        <w:rPr>
          <w:rFonts w:hint="eastAsia" w:ascii="仿宋" w:hAnsi="仿宋" w:eastAsia="仿宋" w:cs="仿宋"/>
          <w:sz w:val="32"/>
          <w:szCs w:val="32"/>
        </w:rPr>
        <w:t>执行《工业企业厂界环境噪声排放标准》（GB12348-2008）</w:t>
      </w:r>
      <w:r>
        <w:rPr>
          <w:rFonts w:hint="eastAsia" w:ascii="仿宋" w:hAnsi="仿宋" w:eastAsia="仿宋" w:cs="仿宋"/>
          <w:sz w:val="32"/>
          <w:szCs w:val="32"/>
          <w:lang w:val="en-US" w:eastAsia="zh-CN"/>
        </w:rPr>
        <w:t>1</w:t>
      </w:r>
      <w:r>
        <w:rPr>
          <w:rFonts w:hint="eastAsia" w:ascii="仿宋" w:hAnsi="仿宋" w:eastAsia="仿宋" w:cs="仿宋"/>
          <w:sz w:val="32"/>
          <w:szCs w:val="32"/>
        </w:rPr>
        <w:t>类标准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其他执行2</w:t>
      </w:r>
      <w:r>
        <w:rPr>
          <w:rFonts w:hint="eastAsia" w:ascii="仿宋" w:hAnsi="仿宋" w:eastAsia="仿宋" w:cs="仿宋"/>
          <w:sz w:val="32"/>
          <w:szCs w:val="32"/>
        </w:rPr>
        <w:t>类标准</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按“资源化、减量化、无害化”处理处置原则，落实各类固废（特别是危险固废）的贮存、处置及综合利用措施。规范危险废物的管理，严格按照国家和省的相关管理规定做好危险废物的分类收集、暂存、转移、处置工作，避免处置不当造成环境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六</w:t>
      </w:r>
      <w:r>
        <w:rPr>
          <w:rFonts w:hint="eastAsia" w:ascii="仿宋" w:hAnsi="仿宋" w:eastAsia="仿宋" w:cs="仿宋"/>
          <w:sz w:val="32"/>
          <w:szCs w:val="32"/>
        </w:rPr>
        <w:t>、落实风险防范措施和事故应急预案，加强应急演练，防范环境风险，确保环境安全。做好开采区、排土场风险控制，严格落实各项地质灾害风险防治措施。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七</w:t>
      </w:r>
      <w:r>
        <w:rPr>
          <w:rFonts w:hint="eastAsia" w:ascii="仿宋" w:hAnsi="仿宋" w:eastAsia="仿宋" w:cs="仿宋"/>
          <w:sz w:val="32"/>
          <w:szCs w:val="32"/>
        </w:rPr>
        <w:t>、加强生态保护措施。应严格限制在所划定的范围内进行开采，不得对划定界限外的地形、地貌和自然环境造成影响或破坏，对工程临时占地产生的次生裸地须采取相应的生态恢复措施。矿山服务期满后要</w:t>
      </w:r>
      <w:r>
        <w:rPr>
          <w:rFonts w:hint="eastAsia" w:ascii="仿宋" w:hAnsi="仿宋" w:eastAsia="仿宋" w:cs="仿宋"/>
          <w:sz w:val="32"/>
          <w:szCs w:val="32"/>
          <w:lang w:val="en-US" w:eastAsia="zh-CN"/>
        </w:rPr>
        <w:t>按</w:t>
      </w:r>
      <w:r>
        <w:rPr>
          <w:rFonts w:hint="eastAsia" w:ascii="仿宋" w:hAnsi="仿宋" w:eastAsia="仿宋" w:cs="仿宋"/>
          <w:sz w:val="32"/>
          <w:szCs w:val="32"/>
        </w:rPr>
        <w:t>规定进行生态恢复。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八</w:t>
      </w:r>
      <w:r>
        <w:rPr>
          <w:rFonts w:hint="eastAsia" w:ascii="仿宋" w:hAnsi="仿宋" w:eastAsia="仿宋" w:cs="仿宋"/>
          <w:sz w:val="32"/>
          <w:szCs w:val="32"/>
        </w:rPr>
        <w:t>、建设项目的性质、规模、地点、采用的生产工艺或者防治污染、防止生态破坏的措施发生重大变动的，建设单位应当重新报批建设项目的环境影响评价文件。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九</w:t>
      </w:r>
      <w:r>
        <w:rPr>
          <w:rFonts w:hint="eastAsia" w:ascii="仿宋" w:hAnsi="仿宋" w:eastAsia="仿宋" w:cs="仿宋"/>
          <w:sz w:val="32"/>
          <w:szCs w:val="32"/>
        </w:rPr>
        <w:t>、项目建设、运行过程中产生不符合经审批的环境影响评价文件的情形的，建设单位应当组织环境影响的后评价，采取改进措施，并报原环境影响评价文件审批部门和建设项目审批部门备案。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十、</w:t>
      </w:r>
      <w:r>
        <w:rPr>
          <w:rFonts w:hint="eastAsia" w:ascii="仿宋" w:hAnsi="仿宋" w:eastAsia="仿宋" w:cs="仿宋"/>
          <w:sz w:val="32"/>
          <w:szCs w:val="32"/>
          <w:lang w:val="en-US" w:eastAsia="zh-CN"/>
        </w:rPr>
        <w:t>本批复仅从</w:t>
      </w:r>
      <w:r>
        <w:rPr>
          <w:rFonts w:hint="eastAsia" w:ascii="仿宋" w:hAnsi="仿宋" w:eastAsia="仿宋" w:cs="仿宋"/>
          <w:sz w:val="32"/>
          <w:szCs w:val="32"/>
        </w:rPr>
        <w:t>环境</w:t>
      </w:r>
      <w:r>
        <w:rPr>
          <w:rFonts w:hint="eastAsia" w:ascii="仿宋" w:hAnsi="仿宋" w:eastAsia="仿宋" w:cs="仿宋"/>
          <w:sz w:val="32"/>
          <w:szCs w:val="32"/>
          <w:lang w:eastAsia="zh-CN"/>
        </w:rPr>
        <w:t>保护</w:t>
      </w:r>
      <w:r>
        <w:rPr>
          <w:rFonts w:hint="eastAsia" w:ascii="仿宋" w:hAnsi="仿宋" w:eastAsia="仿宋" w:cs="仿宋"/>
          <w:sz w:val="32"/>
          <w:szCs w:val="32"/>
        </w:rPr>
        <w:t>角度分析</w:t>
      </w:r>
      <w:r>
        <w:rPr>
          <w:rFonts w:hint="eastAsia" w:ascii="仿宋" w:hAnsi="仿宋" w:eastAsia="仿宋" w:cs="仿宋"/>
          <w:sz w:val="32"/>
          <w:szCs w:val="32"/>
          <w:lang w:eastAsia="zh-CN"/>
        </w:rPr>
        <w:t>同意你单位在该地点建设项目，该项目开工建设及运营</w:t>
      </w:r>
      <w:r>
        <w:rPr>
          <w:rFonts w:hint="eastAsia" w:ascii="仿宋" w:hAnsi="仿宋" w:eastAsia="仿宋" w:cs="仿宋"/>
          <w:sz w:val="32"/>
          <w:szCs w:val="32"/>
        </w:rPr>
        <w:t>须按有关规定取得</w:t>
      </w:r>
      <w:r>
        <w:rPr>
          <w:rFonts w:hint="eastAsia" w:ascii="仿宋" w:hAnsi="仿宋" w:eastAsia="仿宋" w:cs="仿宋"/>
          <w:sz w:val="32"/>
          <w:szCs w:val="32"/>
          <w:lang w:val="en-US" w:eastAsia="zh-CN"/>
        </w:rPr>
        <w:t>安监等</w:t>
      </w:r>
      <w:r>
        <w:rPr>
          <w:rFonts w:hint="eastAsia" w:ascii="仿宋" w:hAnsi="仿宋" w:eastAsia="仿宋" w:cs="仿宋"/>
          <w:sz w:val="32"/>
          <w:szCs w:val="32"/>
        </w:rPr>
        <w:t>其他相关部门</w:t>
      </w:r>
      <w:r>
        <w:rPr>
          <w:rFonts w:hint="eastAsia" w:ascii="仿宋" w:hAnsi="仿宋" w:eastAsia="仿宋" w:cs="仿宋"/>
          <w:sz w:val="32"/>
          <w:szCs w:val="32"/>
          <w:lang w:eastAsia="zh-CN"/>
        </w:rPr>
        <w:t>的</w:t>
      </w:r>
      <w:r>
        <w:rPr>
          <w:rFonts w:hint="eastAsia" w:ascii="仿宋" w:hAnsi="仿宋" w:eastAsia="仿宋" w:cs="仿宋"/>
          <w:sz w:val="32"/>
          <w:szCs w:val="32"/>
        </w:rPr>
        <w:t>同意</w:t>
      </w:r>
      <w:r>
        <w:rPr>
          <w:rFonts w:hint="eastAsia" w:ascii="仿宋" w:hAnsi="仿宋" w:eastAsia="仿宋" w:cs="仿宋"/>
          <w:sz w:val="32"/>
          <w:szCs w:val="32"/>
          <w:lang w:val="en-US" w:eastAsia="zh-CN"/>
        </w:rPr>
        <w:t>。</w:t>
      </w:r>
      <w:r>
        <w:rPr>
          <w:rFonts w:hint="eastAsia" w:ascii="仿宋" w:hAnsi="仿宋" w:eastAsia="仿宋" w:cs="仿宋"/>
          <w:sz w:val="32"/>
          <w:szCs w:val="32"/>
        </w:rPr>
        <w:t>项目建设必须严格执行配套的环境保护设施与主体工程同时设计、同时施工、同时投产使用的环境保护“三同时”制度，项目竣工后，建设单位须按规定程序</w:t>
      </w:r>
      <w:r>
        <w:rPr>
          <w:rFonts w:hint="eastAsia" w:ascii="仿宋" w:hAnsi="仿宋" w:eastAsia="仿宋" w:cs="仿宋"/>
          <w:sz w:val="32"/>
          <w:szCs w:val="32"/>
          <w:lang w:eastAsia="zh-CN"/>
        </w:rPr>
        <w:t>实施</w:t>
      </w:r>
      <w:r>
        <w:rPr>
          <w:rFonts w:hint="eastAsia" w:ascii="仿宋" w:hAnsi="仿宋" w:eastAsia="仿宋" w:cs="仿宋"/>
          <w:sz w:val="32"/>
          <w:szCs w:val="32"/>
        </w:rPr>
        <w:t>项目竣工环境保护验收，验收合格后方可正式投入使用。</w:t>
      </w:r>
    </w:p>
    <w:p>
      <w:pPr>
        <w:rPr>
          <w:rFonts w:hint="eastAsia" w:ascii="仿宋" w:hAnsi="仿宋" w:eastAsia="仿宋" w:cs="仿宋"/>
          <w:sz w:val="32"/>
          <w:szCs w:val="32"/>
          <w:lang w:val="en-US"/>
        </w:rPr>
      </w:pPr>
      <w:r>
        <w:rPr>
          <w:rFonts w:hint="eastAsia" w:ascii="仿宋" w:hAnsi="仿宋" w:eastAsia="仿宋" w:cs="仿宋"/>
          <w:sz w:val="32"/>
          <w:szCs w:val="32"/>
        </w:rPr>
        <w:t>　　</w:t>
      </w:r>
      <w:r>
        <w:rPr>
          <w:rFonts w:hint="eastAsia" w:ascii="仿宋" w:hAnsi="仿宋" w:eastAsia="仿宋" w:cs="仿宋"/>
          <w:sz w:val="32"/>
          <w:szCs w:val="32"/>
          <w:lang w:val="en-US"/>
        </w:rPr>
        <w:t> </w:t>
      </w:r>
      <w:r>
        <w:rPr>
          <w:rFonts w:hint="eastAsia" w:ascii="仿宋" w:hAnsi="仿宋" w:eastAsia="仿宋" w:cs="仿宋"/>
          <w:sz w:val="32"/>
          <w:szCs w:val="32"/>
          <w:lang w:val="en-US" w:eastAsia="zh-CN"/>
        </w:rPr>
        <w:t xml:space="preserve">                       </w:t>
      </w:r>
      <w:r>
        <w:rPr>
          <w:rFonts w:hint="eastAsia" w:ascii="仿宋" w:hAnsi="仿宋" w:eastAsia="仿宋" w:cs="仿宋"/>
          <w:b w:val="0"/>
          <w:bCs w:val="0"/>
          <w:sz w:val="32"/>
          <w:szCs w:val="32"/>
          <w:lang w:val="en-US" w:eastAsia="zh-CN"/>
        </w:rPr>
        <w:t>湛江市生态环境局雷州分局</w:t>
      </w:r>
    </w:p>
    <w:p>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8</w:t>
      </w:r>
      <w:bookmarkStart w:id="0" w:name="_GoBack"/>
      <w:bookmarkEnd w:id="0"/>
      <w:r>
        <w:rPr>
          <w:rFonts w:hint="eastAsia" w:ascii="仿宋" w:hAnsi="仿宋" w:eastAsia="仿宋" w:cs="仿宋"/>
          <w:sz w:val="32"/>
          <w:szCs w:val="32"/>
        </w:rPr>
        <w:t>日</w:t>
      </w:r>
    </w:p>
    <w:p>
      <w:pPr>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52E1CA3"/>
    <w:rsid w:val="073564DA"/>
    <w:rsid w:val="1C131638"/>
    <w:rsid w:val="1D7026D0"/>
    <w:rsid w:val="203A6608"/>
    <w:rsid w:val="2062552B"/>
    <w:rsid w:val="24720665"/>
    <w:rsid w:val="250A588A"/>
    <w:rsid w:val="2BB2556C"/>
    <w:rsid w:val="2D8943C0"/>
    <w:rsid w:val="2FB27BA5"/>
    <w:rsid w:val="38FD190F"/>
    <w:rsid w:val="3BB82DF5"/>
    <w:rsid w:val="4004541A"/>
    <w:rsid w:val="44733014"/>
    <w:rsid w:val="4F512D07"/>
    <w:rsid w:val="501C6FD4"/>
    <w:rsid w:val="5ED04933"/>
    <w:rsid w:val="64B65258"/>
    <w:rsid w:val="6E210DB6"/>
    <w:rsid w:val="6FE47F59"/>
    <w:rsid w:val="71DA7AC8"/>
    <w:rsid w:val="75542971"/>
    <w:rsid w:val="757C79A0"/>
    <w:rsid w:val="761B53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7">
    <w:name w:val="FollowedHyperlink"/>
    <w:basedOn w:val="6"/>
    <w:qFormat/>
    <w:uiPriority w:val="0"/>
    <w:rPr>
      <w:color w:val="000000"/>
      <w:u w:val="none"/>
    </w:rPr>
  </w:style>
  <w:style w:type="character" w:styleId="8">
    <w:name w:val="Hyperlink"/>
    <w:basedOn w:val="6"/>
    <w:qFormat/>
    <w:uiPriority w:val="0"/>
    <w:rPr>
      <w:color w:val="000000"/>
      <w:u w:val="none"/>
    </w:rPr>
  </w:style>
  <w:style w:type="paragraph" w:customStyle="1" w:styleId="9">
    <w:name w:val="p0"/>
    <w:basedOn w:val="1"/>
    <w:qFormat/>
    <w:uiPriority w:val="0"/>
    <w:pPr>
      <w:widowControl/>
      <w:jc w:val="left"/>
    </w:pPr>
    <w:rPr>
      <w:kern w:val="0"/>
      <w:szCs w:val="21"/>
    </w:rPr>
  </w:style>
  <w:style w:type="paragraph" w:customStyle="1" w:styleId="10">
    <w:name w:val="Default"/>
    <w:unhideWhenUsed/>
    <w:qFormat/>
    <w:uiPriority w:val="99"/>
    <w:pPr>
      <w:widowControl w:val="0"/>
      <w:autoSpaceDE w:val="0"/>
      <w:autoSpaceDN w:val="0"/>
      <w:adjustRightInd w:val="0"/>
    </w:pPr>
    <w:rPr>
      <w:rFonts w:hint="eastAsia" w:ascii="黑体" w:hAnsi="黑体" w:eastAsia="黑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2018-03-21T08:29:00Z</cp:lastPrinted>
  <dcterms:modified xsi:type="dcterms:W3CDTF">2019-11-06T07:42:20Z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