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jc w:val="right"/>
        <w:rPr>
          <w:rFonts w:hint="eastAsia" w:ascii="仿宋" w:hAnsi="仿宋" w:eastAsia="仿宋" w:cs="仿宋"/>
          <w:color w:val="000000" w:themeColor="text1"/>
          <w:sz w:val="32"/>
          <w:szCs w:val="32"/>
          <w14:textFill>
            <w14:solidFill>
              <w14:schemeClr w14:val="tx1"/>
            </w14:solidFill>
          </w14:textFill>
        </w:rPr>
      </w:pPr>
    </w:p>
    <w:p>
      <w:pPr>
        <w:wordWrap w:val="0"/>
        <w:spacing w:line="600" w:lineRule="exact"/>
        <w:jc w:val="right"/>
        <w:rPr>
          <w:rFonts w:hint="eastAsia" w:ascii="仿宋" w:hAnsi="仿宋" w:eastAsia="仿宋" w:cs="仿宋"/>
          <w:b/>
          <w:bCs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雷环建〔201</w:t>
      </w:r>
      <w:r>
        <w:rPr>
          <w:rFonts w:hint="eastAsia" w:ascii="仿宋" w:hAnsi="仿宋" w:eastAsia="仿宋" w:cs="仿宋"/>
          <w:color w:val="000000" w:themeColor="text1"/>
          <w:sz w:val="32"/>
          <w:szCs w:val="32"/>
          <w:lang w:val="en-US" w:eastAsia="zh-CN"/>
          <w14:textFill>
            <w14:solidFill>
              <w14:schemeClr w14:val="tx1"/>
            </w14:solidFill>
          </w14:textFill>
        </w:rPr>
        <w:t>9</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40</w:t>
      </w:r>
      <w:r>
        <w:rPr>
          <w:rFonts w:hint="eastAsia" w:ascii="仿宋" w:hAnsi="仿宋" w:eastAsia="仿宋" w:cs="仿宋"/>
          <w:color w:val="000000" w:themeColor="text1"/>
          <w:sz w:val="32"/>
          <w:szCs w:val="32"/>
          <w14:textFill>
            <w14:solidFill>
              <w14:schemeClr w14:val="tx1"/>
            </w14:solidFill>
          </w14:textFill>
        </w:rPr>
        <w:t>号</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p>
    <w:p>
      <w:pPr>
        <w:spacing w:line="560" w:lineRule="exact"/>
        <w:jc w:val="center"/>
        <w:rPr>
          <w:rFonts w:hint="eastAsia" w:ascii="仿宋" w:hAnsi="仿宋" w:eastAsia="仿宋" w:cs="仿宋"/>
          <w:b/>
          <w:bCs w:val="0"/>
          <w:color w:val="000000" w:themeColor="text1"/>
          <w:sz w:val="32"/>
          <w:szCs w:val="32"/>
          <w14:textFill>
            <w14:solidFill>
              <w14:schemeClr w14:val="tx1"/>
            </w14:solidFill>
          </w14:textFill>
        </w:rPr>
      </w:pPr>
    </w:p>
    <w:p>
      <w:pPr>
        <w:spacing w:line="560" w:lineRule="exact"/>
        <w:jc w:val="center"/>
        <w:rPr>
          <w:rFonts w:hint="eastAsia" w:ascii="仿宋" w:hAnsi="仿宋" w:eastAsia="仿宋" w:cs="仿宋"/>
          <w:b w:val="0"/>
          <w:bCs/>
          <w:color w:val="000000" w:themeColor="text1"/>
          <w:sz w:val="36"/>
          <w:szCs w:val="36"/>
          <w14:textFill>
            <w14:solidFill>
              <w14:schemeClr w14:val="tx1"/>
            </w14:solidFill>
          </w14:textFill>
        </w:rPr>
      </w:pPr>
      <w:r>
        <w:rPr>
          <w:rFonts w:hint="eastAsia" w:ascii="仿宋" w:hAnsi="仿宋" w:eastAsia="仿宋" w:cs="仿宋"/>
          <w:b/>
          <w:bCs w:val="0"/>
          <w:color w:val="000000" w:themeColor="text1"/>
          <w:sz w:val="36"/>
          <w:szCs w:val="36"/>
          <w14:textFill>
            <w14:solidFill>
              <w14:schemeClr w14:val="tx1"/>
            </w14:solidFill>
          </w14:textFill>
        </w:rPr>
        <w:t>关于</w:t>
      </w:r>
      <w:r>
        <w:rPr>
          <w:rFonts w:hint="eastAsia" w:ascii="仿宋" w:hAnsi="仿宋" w:eastAsia="仿宋" w:cs="仿宋"/>
          <w:b/>
          <w:bCs w:val="0"/>
          <w:color w:val="000000" w:themeColor="text1"/>
          <w:sz w:val="36"/>
          <w:szCs w:val="36"/>
          <w:lang w:eastAsia="zh-CN"/>
          <w14:textFill>
            <w14:solidFill>
              <w14:schemeClr w14:val="tx1"/>
            </w14:solidFill>
          </w14:textFill>
        </w:rPr>
        <w:t>雷州市镇区生活污水处理PPP项目英利镇镇区生活污水处理项目环境影响报告</w:t>
      </w:r>
      <w:r>
        <w:rPr>
          <w:rFonts w:hint="eastAsia" w:ascii="仿宋" w:hAnsi="仿宋" w:eastAsia="仿宋" w:cs="仿宋"/>
          <w:b/>
          <w:bCs w:val="0"/>
          <w:color w:val="000000" w:themeColor="text1"/>
          <w:sz w:val="36"/>
          <w:szCs w:val="36"/>
          <w:lang w:val="en-US" w:eastAsia="zh-CN"/>
          <w14:textFill>
            <w14:solidFill>
              <w14:schemeClr w14:val="tx1"/>
            </w14:solidFill>
          </w14:textFill>
        </w:rPr>
        <w:t>表</w:t>
      </w:r>
      <w:r>
        <w:rPr>
          <w:rFonts w:hint="eastAsia" w:ascii="仿宋" w:hAnsi="仿宋" w:eastAsia="仿宋" w:cs="仿宋"/>
          <w:b/>
          <w:bCs w:val="0"/>
          <w:color w:val="000000" w:themeColor="text1"/>
          <w:sz w:val="36"/>
          <w:szCs w:val="36"/>
          <w:lang w:val="zh-CN"/>
          <w14:textFill>
            <w14:solidFill>
              <w14:schemeClr w14:val="tx1"/>
            </w14:solidFill>
          </w14:textFill>
        </w:rPr>
        <w:t>的批复</w:t>
      </w:r>
    </w:p>
    <w:p>
      <w:pPr>
        <w:rPr>
          <w:rFonts w:hint="eastAsia" w:ascii="仿宋" w:hAnsi="仿宋" w:eastAsia="仿宋" w:cs="仿宋"/>
          <w:b w:val="0"/>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雷州博瑞水务有限公司</w:t>
      </w:r>
      <w:r>
        <w:rPr>
          <w:rFonts w:hint="eastAsia" w:ascii="仿宋" w:hAnsi="仿宋" w:eastAsia="仿宋" w:cs="仿宋"/>
          <w:b w:val="0"/>
          <w:bCs/>
          <w:color w:val="000000" w:themeColor="text1"/>
          <w:sz w:val="32"/>
          <w:szCs w:val="32"/>
          <w14:textFill>
            <w14:solidFill>
              <w14:schemeClr w14:val="tx1"/>
            </w14:solidFill>
          </w14:textFill>
        </w:rPr>
        <w:t>： </w:t>
      </w:r>
    </w:p>
    <w:p>
      <w:pPr>
        <w:pStyle w:val="12"/>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你</w:t>
      </w:r>
      <w:r>
        <w:rPr>
          <w:rFonts w:hint="eastAsia" w:ascii="仿宋" w:hAnsi="仿宋" w:eastAsia="仿宋" w:cs="仿宋"/>
          <w:color w:val="000000" w:themeColor="text1"/>
          <w:sz w:val="32"/>
          <w:szCs w:val="32"/>
          <w:lang w:eastAsia="zh-CN"/>
          <w14:textFill>
            <w14:solidFill>
              <w14:schemeClr w14:val="tx1"/>
            </w14:solidFill>
          </w14:textFill>
        </w:rPr>
        <w:t>公司</w:t>
      </w:r>
      <w:r>
        <w:rPr>
          <w:rFonts w:hint="eastAsia" w:ascii="仿宋" w:hAnsi="仿宋" w:eastAsia="仿宋" w:cs="仿宋"/>
          <w:color w:val="000000" w:themeColor="text1"/>
          <w:sz w:val="32"/>
          <w:szCs w:val="32"/>
          <w14:textFill>
            <w14:solidFill>
              <w14:schemeClr w14:val="tx1"/>
            </w14:solidFill>
          </w14:textFill>
        </w:rPr>
        <w:t>报送的</w:t>
      </w:r>
      <w:r>
        <w:rPr>
          <w:rFonts w:hint="eastAsia" w:ascii="仿宋" w:hAnsi="仿宋" w:eastAsia="仿宋" w:cs="仿宋"/>
          <w:b w:val="0"/>
          <w:bCs w:val="0"/>
          <w:color w:val="000000" w:themeColor="text1"/>
          <w:sz w:val="32"/>
          <w:szCs w:val="32"/>
          <w14:textFill>
            <w14:solidFill>
              <w14:schemeClr w14:val="tx1"/>
            </w14:solidFill>
          </w14:textFill>
        </w:rPr>
        <w:t>《</w:t>
      </w:r>
      <w:r>
        <w:rPr>
          <w:rFonts w:hint="eastAsia" w:ascii="仿宋" w:hAnsi="仿宋" w:eastAsia="仿宋" w:cs="仿宋"/>
          <w:b w:val="0"/>
          <w:bCs w:val="0"/>
          <w:color w:val="000000" w:themeColor="text1"/>
          <w:sz w:val="32"/>
          <w:szCs w:val="32"/>
          <w:lang w:eastAsia="zh-CN"/>
          <w14:textFill>
            <w14:solidFill>
              <w14:schemeClr w14:val="tx1"/>
            </w14:solidFill>
          </w14:textFill>
        </w:rPr>
        <w:t>雷州市镇区生活污水处理PPP项目英利镇镇区生活污水处理项目环境影响报告表</w:t>
      </w:r>
      <w:r>
        <w:rPr>
          <w:rFonts w:hint="eastAsia" w:ascii="仿宋" w:hAnsi="仿宋" w:eastAsia="仿宋" w:cs="仿宋"/>
          <w:color w:val="000000" w:themeColor="text1"/>
          <w:sz w:val="32"/>
          <w:szCs w:val="32"/>
          <w14:textFill>
            <w14:solidFill>
              <w14:schemeClr w14:val="tx1"/>
            </w14:solidFill>
          </w14:textFill>
        </w:rPr>
        <w:t>》（以下简称</w:t>
      </w:r>
      <w:r>
        <w:rPr>
          <w:rFonts w:hint="eastAsia" w:ascii="仿宋" w:hAnsi="仿宋" w:eastAsia="仿宋" w:cs="仿宋"/>
          <w:b w:val="0"/>
          <w:bCs/>
          <w:color w:val="000000" w:themeColor="text1"/>
          <w:sz w:val="32"/>
          <w:szCs w:val="32"/>
          <w14:textFill>
            <w14:solidFill>
              <w14:schemeClr w14:val="tx1"/>
            </w14:solidFill>
          </w14:textFill>
        </w:rPr>
        <w:t>《报告表》</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及有关材料</w:t>
      </w:r>
      <w:r>
        <w:rPr>
          <w:rFonts w:hint="eastAsia" w:ascii="仿宋" w:hAnsi="仿宋" w:eastAsia="仿宋" w:cs="仿宋"/>
          <w:color w:val="000000" w:themeColor="text1"/>
          <w:sz w:val="32"/>
          <w:szCs w:val="32"/>
          <w14:textFill>
            <w14:solidFill>
              <w14:schemeClr w14:val="tx1"/>
            </w14:solidFill>
          </w14:textFill>
        </w:rPr>
        <w:t>收悉，</w:t>
      </w:r>
      <w:r>
        <w:rPr>
          <w:rFonts w:hint="eastAsia" w:ascii="仿宋" w:hAnsi="仿宋" w:eastAsia="仿宋" w:cs="仿宋"/>
          <w:b w:val="0"/>
          <w:bCs/>
          <w:color w:val="000000" w:themeColor="text1"/>
          <w:sz w:val="32"/>
          <w:szCs w:val="32"/>
          <w14:textFill>
            <w14:solidFill>
              <w14:schemeClr w14:val="tx1"/>
            </w14:solidFill>
          </w14:textFill>
        </w:rPr>
        <w:t>我局按照建设项目环境管理有关规定对该项目进行审查，批复如下： </w:t>
      </w:r>
    </w:p>
    <w:p>
      <w:pPr>
        <w:keepNext w:val="0"/>
        <w:keepLines w:val="0"/>
        <w:pageBreakBefore w:val="0"/>
        <w:numPr>
          <w:ilvl w:val="0"/>
          <w:numId w:val="1"/>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lang w:eastAsia="zh-CN"/>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根据《报告表》的综合</w:t>
      </w:r>
      <w:r>
        <w:rPr>
          <w:rFonts w:hint="eastAsia" w:ascii="仿宋" w:hAnsi="仿宋" w:eastAsia="仿宋" w:cs="仿宋"/>
          <w:b w:val="0"/>
          <w:bCs/>
          <w:color w:val="000000" w:themeColor="text1"/>
          <w:sz w:val="32"/>
          <w:szCs w:val="32"/>
          <w:lang w:eastAsia="zh-CN"/>
          <w14:textFill>
            <w14:solidFill>
              <w14:schemeClr w14:val="tx1"/>
            </w14:solidFill>
          </w14:textFill>
        </w:rPr>
        <w:t>结论</w:t>
      </w:r>
      <w:r>
        <w:rPr>
          <w:rFonts w:hint="eastAsia" w:ascii="仿宋" w:hAnsi="仿宋" w:eastAsia="仿宋" w:cs="仿宋"/>
          <w:b w:val="0"/>
          <w:bCs/>
          <w:color w:val="000000" w:themeColor="text1"/>
          <w:sz w:val="32"/>
          <w:szCs w:val="32"/>
          <w14:textFill>
            <w14:solidFill>
              <w14:schemeClr w14:val="tx1"/>
            </w14:solidFill>
          </w14:textFill>
        </w:rPr>
        <w:t>和我局环评审批领导小组意见，</w:t>
      </w:r>
      <w:r>
        <w:rPr>
          <w:rFonts w:hint="eastAsia" w:ascii="仿宋" w:hAnsi="仿宋" w:eastAsia="仿宋" w:cs="仿宋"/>
          <w:color w:val="000000"/>
          <w:sz w:val="32"/>
          <w:szCs w:val="32"/>
        </w:rPr>
        <w:t>做到污染物稳定达标排放和符合总量控制要求，确保环境安全的前提下</w:t>
      </w:r>
      <w:r>
        <w:rPr>
          <w:rFonts w:hint="eastAsia" w:ascii="仿宋" w:hAnsi="仿宋" w:eastAsia="仿宋" w:cs="仿宋"/>
          <w:b w:val="0"/>
          <w:bCs/>
          <w:color w:val="000000" w:themeColor="text1"/>
          <w:sz w:val="32"/>
          <w:szCs w:val="32"/>
          <w14:textFill>
            <w14:solidFill>
              <w14:schemeClr w14:val="tx1"/>
            </w14:solidFill>
          </w14:textFill>
        </w:rPr>
        <w:t>，</w:t>
      </w:r>
      <w:r>
        <w:rPr>
          <w:rFonts w:hint="eastAsia" w:ascii="仿宋" w:hAnsi="仿宋" w:eastAsia="仿宋" w:cs="仿宋"/>
          <w:b w:val="0"/>
          <w:bCs/>
          <w:color w:val="000000" w:themeColor="text1"/>
          <w:sz w:val="32"/>
          <w:szCs w:val="32"/>
          <w:lang w:eastAsia="zh-CN"/>
          <w14:textFill>
            <w14:solidFill>
              <w14:schemeClr w14:val="tx1"/>
            </w14:solidFill>
          </w14:textFill>
        </w:rPr>
        <w:t>仅</w:t>
      </w:r>
      <w:r>
        <w:rPr>
          <w:rFonts w:hint="eastAsia" w:ascii="仿宋" w:hAnsi="仿宋" w:eastAsia="仿宋" w:cs="仿宋"/>
          <w:b w:val="0"/>
          <w:bCs/>
          <w:color w:val="000000" w:themeColor="text1"/>
          <w:sz w:val="32"/>
          <w:szCs w:val="32"/>
          <w14:textFill>
            <w14:solidFill>
              <w14:schemeClr w14:val="tx1"/>
            </w14:solidFill>
          </w14:textFill>
        </w:rPr>
        <w:t>从环境保护角度，</w:t>
      </w:r>
      <w:r>
        <w:rPr>
          <w:rFonts w:hint="eastAsia" w:ascii="仿宋" w:hAnsi="仿宋" w:eastAsia="仿宋" w:cs="仿宋"/>
          <w:color w:val="000000" w:themeColor="text1"/>
          <w:sz w:val="32"/>
          <w:szCs w:val="32"/>
          <w14:textFill>
            <w14:solidFill>
              <w14:schemeClr w14:val="tx1"/>
            </w14:solidFill>
          </w14:textFill>
        </w:rPr>
        <w:t>我局同意该项目按报告表申报的</w:t>
      </w:r>
      <w:r>
        <w:rPr>
          <w:rFonts w:hint="eastAsia" w:ascii="仿宋" w:hAnsi="仿宋" w:eastAsia="仿宋" w:cs="仿宋"/>
          <w:color w:val="000000" w:themeColor="text1"/>
          <w:sz w:val="32"/>
          <w:szCs w:val="32"/>
          <w:lang w:eastAsia="zh-CN"/>
          <w14:textFill>
            <w14:solidFill>
              <w14:schemeClr w14:val="tx1"/>
            </w14:solidFill>
          </w14:textFill>
        </w:rPr>
        <w:t>项目性质、规模、环境保护措施进行</w:t>
      </w:r>
      <w:r>
        <w:rPr>
          <w:rFonts w:hint="eastAsia" w:ascii="仿宋" w:hAnsi="仿宋" w:eastAsia="仿宋" w:cs="仿宋"/>
          <w:color w:val="000000" w:themeColor="text1"/>
          <w:sz w:val="32"/>
          <w:szCs w:val="32"/>
          <w14:textFill>
            <w14:solidFill>
              <w14:schemeClr w14:val="tx1"/>
            </w14:solidFill>
          </w14:textFill>
        </w:rPr>
        <w:t>建设</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b w:val="0"/>
          <w:bCs/>
          <w:color w:val="000000" w:themeColor="text1"/>
          <w:sz w:val="32"/>
          <w:szCs w:val="32"/>
          <w:lang w:val="en-US" w:eastAsia="zh-CN"/>
          <w14:textFill>
            <w14:solidFill>
              <w14:schemeClr w14:val="tx1"/>
            </w14:solidFill>
          </w14:textFill>
        </w:rPr>
        <w:t xml:space="preserve">                         </w:t>
      </w:r>
    </w:p>
    <w:p>
      <w:pPr>
        <w:pStyle w:val="4"/>
        <w:overflowPunct w:val="0"/>
        <w:spacing w:line="360" w:lineRule="auto"/>
        <w:ind w:firstLine="800" w:firstLineChars="250"/>
        <w:contextualSpacing/>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项目选址位于</w:t>
      </w:r>
      <w:r>
        <w:rPr>
          <w:rFonts w:hint="eastAsia" w:ascii="仿宋" w:hAnsi="仿宋" w:eastAsia="仿宋" w:cs="仿宋"/>
          <w:sz w:val="32"/>
          <w:szCs w:val="32"/>
        </w:rPr>
        <w:t>雷州市</w:t>
      </w:r>
      <w:r>
        <w:rPr>
          <w:rFonts w:hint="eastAsia" w:ascii="仿宋" w:hAnsi="仿宋" w:eastAsia="仿宋" w:cs="仿宋"/>
          <w:sz w:val="32"/>
          <w:szCs w:val="32"/>
          <w:lang w:eastAsia="zh-CN"/>
        </w:rPr>
        <w:t>英利镇镇区西侧</w:t>
      </w:r>
      <w:r>
        <w:rPr>
          <w:rFonts w:hint="eastAsia" w:ascii="仿宋" w:hAnsi="仿宋" w:eastAsia="仿宋" w:cs="仿宋"/>
          <w:sz w:val="32"/>
          <w:szCs w:val="32"/>
          <w:lang w:val="en-US" w:eastAsia="zh-CN"/>
        </w:rPr>
        <w:t>，污水处理厂地块中心位置地理坐标E110.081419°、N20.561398°。项目总投资5422.26万元，占地面积为9500m</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lang w:val="en-US" w:eastAsia="zh-CN"/>
        </w:rPr>
        <w:t>，设计污水处理规模为5000m</w:t>
      </w:r>
      <w:r>
        <w:rPr>
          <w:rFonts w:hint="eastAsia" w:ascii="仿宋" w:hAnsi="仿宋" w:eastAsia="仿宋" w:cs="仿宋"/>
          <w:sz w:val="32"/>
          <w:szCs w:val="32"/>
          <w:vertAlign w:val="superscript"/>
          <w:lang w:val="en-US" w:eastAsia="zh-CN"/>
        </w:rPr>
        <w:t>3</w:t>
      </w:r>
      <w:r>
        <w:rPr>
          <w:rFonts w:hint="eastAsia" w:ascii="仿宋" w:hAnsi="仿宋" w:eastAsia="仿宋" w:cs="仿宋"/>
          <w:sz w:val="32"/>
          <w:szCs w:val="32"/>
          <w:lang w:val="en-US" w:eastAsia="zh-CN"/>
        </w:rPr>
        <w:t>/d。工程服务范围为英利镇镇区生活污水。主要建设内容为建设镇区污水管网和污水处理厂，配套污水管网中</w:t>
      </w:r>
      <w:r>
        <w:rPr>
          <w:rFonts w:hint="eastAsia" w:ascii="仿宋" w:hAnsi="仿宋" w:eastAsia="仿宋" w:cs="仿宋"/>
          <w:sz w:val="32"/>
          <w:szCs w:val="32"/>
          <w:lang w:val="zh-CN" w:bidi="zh-CN"/>
        </w:rPr>
        <w:t>主管长</w:t>
      </w:r>
      <w:r>
        <w:rPr>
          <w:rFonts w:hint="eastAsia" w:ascii="仿宋" w:hAnsi="仿宋" w:eastAsia="仿宋" w:cs="仿宋"/>
          <w:sz w:val="32"/>
          <w:szCs w:val="32"/>
          <w:lang w:bidi="zh-CN"/>
        </w:rPr>
        <w:t>23.43</w:t>
      </w:r>
      <w:r>
        <w:rPr>
          <w:rFonts w:hint="eastAsia" w:ascii="仿宋" w:hAnsi="仿宋" w:eastAsia="仿宋" w:cs="仿宋"/>
          <w:sz w:val="32"/>
          <w:szCs w:val="32"/>
          <w:lang w:val="zh-CN" w:bidi="zh-CN"/>
        </w:rPr>
        <w:t>km，支管长</w:t>
      </w:r>
      <w:r>
        <w:rPr>
          <w:rFonts w:hint="eastAsia" w:ascii="仿宋" w:hAnsi="仿宋" w:eastAsia="仿宋" w:cs="仿宋"/>
          <w:sz w:val="32"/>
          <w:szCs w:val="32"/>
          <w:lang w:bidi="zh-CN"/>
        </w:rPr>
        <w:t>10.19</w:t>
      </w:r>
      <w:r>
        <w:rPr>
          <w:rFonts w:hint="eastAsia" w:ascii="仿宋" w:hAnsi="仿宋" w:eastAsia="仿宋" w:cs="仿宋"/>
          <w:sz w:val="32"/>
          <w:szCs w:val="32"/>
          <w:lang w:val="zh-CN" w:bidi="zh-CN"/>
        </w:rPr>
        <w:t>km</w:t>
      </w:r>
      <w:r>
        <w:rPr>
          <w:rFonts w:hint="eastAsia" w:ascii="仿宋" w:hAnsi="仿宋" w:eastAsia="仿宋" w:cs="仿宋"/>
          <w:sz w:val="32"/>
          <w:szCs w:val="32"/>
          <w:lang w:val="en-US" w:eastAsia="zh-CN"/>
        </w:rPr>
        <w:t>。</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二、你公司应认真落实《报告表》提出的各项污染防治措施和建议，最大限度地减少对环境的影响，并重点做好以下工作：</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一）施工期间应采取有效措施，防止水土流失；施工废水经隔油隔渣沉淀池处理后回用于洒水等，不得外排；施工场地应采取洒水、遮蔽等措施控制扬尘污染，确保施工废气排放符合《广东省大气污染物排放限值》（DB44/27—2001）第二时段无组织排放监控浓度限值；合理安排施工工序及施工作业时间，采用低噪声设备并采取隔声减噪等措施减小施工噪声对周边环境的影响，确保施工期厂界噪声符合《建筑场界环境噪声排放标准》（GB12523-2011）；及时分类清理施工产生的固体废物，不能回填利用的应及时清运处理，切实维护周边环境。</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（二）加强污水处理厂运行管理，加强污水厂进出水质监控，</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在排放口应设污水水量自动计量装置、自动比例采样装置，在线监测装置</w:t>
      </w: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尾水执行《城镇污水处理厂污染物排放标准》（GB18918-2002）及其修改单中一级标准的A标准及广东省地方标准《水污染排放限值》（DB44/26-2001）第二时段一级标准的较严值</w:t>
      </w:r>
      <w:r>
        <w:rPr>
          <w:rFonts w:hint="eastAsia" w:ascii="仿宋" w:hAnsi="仿宋" w:eastAsia="仿宋" w:cs="仿宋"/>
          <w:color w:val="000000" w:themeColor="text1"/>
          <w:kern w:val="0"/>
          <w:sz w:val="32"/>
          <w:szCs w:val="32"/>
          <w:lang w:val="en-US" w:eastAsia="zh-CN" w:bidi="ar"/>
          <w14:textFill>
            <w14:solidFill>
              <w14:schemeClr w14:val="tx1"/>
            </w14:solidFill>
          </w14:textFill>
        </w:rPr>
        <w:t>。</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三）加强污水处理厂恶臭污染控制，对产生恶臭的设施必须采取有效隔臭除臭措施，并加强绿化建设，提高厂区内绿化覆盖率，减轻恶臭对周围环境影响，确保废气排放符合《城镇污水处理厂污染物排放标准》（GB18918-2002）及其修改单中的二级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（四）加强污水处理厂噪声污染控制，对产生噪声的设备进行合理布局，并采取有效的隔音消声减振措施，确保厂界噪声符合《工业企业厂界环境噪声排放标准》（GB12348-2008）2类标准。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五）污泥应单独收贮和储存，污泥临时堆放场应采取防泄漏、防渗、防雨等措施，确保污泥贮存符合《一般工业固体固体废物贮存、处置场污染控制标准》(GB18599-2001)及2013年修改单要求。污泥应进行稳定化处理和脱水处理，分别达到污泥稳定化指标和脱水污泥含水率小于80%的指标，并符合《城镇污水处理厂污染物排放标准》（GB18918-2002）相关要求。</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   </w:t>
      </w:r>
      <w:r>
        <w:rPr>
          <w:rFonts w:hint="eastAsia" w:ascii="仿宋" w:hAnsi="仿宋" w:eastAsia="仿宋" w:cs="仿宋"/>
          <w:sz w:val="32"/>
          <w:szCs w:val="32"/>
          <w:lang w:val="en-US" w:eastAsia="zh-CN"/>
        </w:rPr>
        <w:t>   （六）制定环境风险应急预案，落实风险防范措施，确保环境安全。</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（七）完善生活污水管网建设，提高生活污水收集率。</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56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四</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b w:val="0"/>
          <w:bCs/>
          <w:color w:val="000000" w:themeColor="text1"/>
          <w:sz w:val="32"/>
          <w:szCs w:val="32"/>
          <w14:textFill>
            <w14:solidFill>
              <w14:schemeClr w14:val="tx1"/>
            </w14:solidFill>
          </w14:textFill>
        </w:rPr>
        <w:t>项目建设必须严格执行配套的环境保护设施与主体工程同时设计、同时施工、同时投产使用的环境保护“三同时”制度</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项目竣工后, 建设单位须按规定程序实施项目竣工环境保护验收，验收合格后方可正式投入生产。</w:t>
      </w:r>
    </w:p>
    <w:p>
      <w:pPr>
        <w:spacing w:line="600" w:lineRule="exact"/>
        <w:ind w:firstLine="640" w:firstLineChars="200"/>
        <w:jc w:val="right"/>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ind w:firstLine="640" w:firstLineChars="200"/>
        <w:jc w:val="right"/>
        <w:rPr>
          <w:rFonts w:hint="eastAsia" w:ascii="仿宋" w:hAnsi="仿宋" w:eastAsia="仿宋" w:cs="仿宋"/>
          <w:b w:val="0"/>
          <w:bCs/>
          <w:color w:val="000000" w:themeColor="text1"/>
          <w:sz w:val="32"/>
          <w:szCs w:val="32"/>
          <w:lang w:val="en-US"/>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 w:val="0"/>
          <w:bCs/>
          <w:color w:val="000000" w:themeColor="text1"/>
          <w:sz w:val="32"/>
          <w:szCs w:val="32"/>
          <w:lang w:val="en-US"/>
          <w14:textFill>
            <w14:solidFill>
              <w14:schemeClr w14:val="tx1"/>
            </w14:solidFill>
          </w14:textFill>
        </w:rPr>
        <w:t> </w:t>
      </w:r>
    </w:p>
    <w:p>
      <w:pPr>
        <w:spacing w:line="600" w:lineRule="exact"/>
        <w:ind w:firstLine="640" w:firstLineChars="200"/>
        <w:jc w:val="right"/>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Cs/>
          <w:color w:val="000000" w:themeColor="text1"/>
          <w:sz w:val="32"/>
          <w:szCs w:val="32"/>
          <w14:textFill>
            <w14:solidFill>
              <w14:schemeClr w14:val="tx1"/>
            </w14:solidFill>
          </w14:textFill>
        </w:rPr>
        <w:t>201</w:t>
      </w:r>
      <w:r>
        <w:rPr>
          <w:rFonts w:hint="eastAsia" w:ascii="仿宋" w:hAnsi="仿宋" w:eastAsia="仿宋" w:cs="仿宋"/>
          <w:bCs/>
          <w:color w:val="000000" w:themeColor="text1"/>
          <w:sz w:val="32"/>
          <w:szCs w:val="32"/>
          <w:lang w:val="en-US" w:eastAsia="zh-CN"/>
          <w14:textFill>
            <w14:solidFill>
              <w14:schemeClr w14:val="tx1"/>
            </w14:solidFill>
          </w14:textFill>
        </w:rPr>
        <w:t>9</w:t>
      </w:r>
      <w:r>
        <w:rPr>
          <w:rFonts w:hint="eastAsia" w:ascii="仿宋" w:hAnsi="仿宋" w:eastAsia="仿宋" w:cs="仿宋"/>
          <w:bCs/>
          <w:color w:val="000000" w:themeColor="text1"/>
          <w:sz w:val="32"/>
          <w:szCs w:val="32"/>
          <w14:textFill>
            <w14:solidFill>
              <w14:schemeClr w14:val="tx1"/>
            </w14:solidFill>
          </w14:textFill>
        </w:rPr>
        <w:t>年</w:t>
      </w:r>
      <w:r>
        <w:rPr>
          <w:rFonts w:hint="eastAsia" w:ascii="仿宋" w:hAnsi="仿宋" w:eastAsia="仿宋" w:cs="仿宋"/>
          <w:bCs/>
          <w:color w:val="000000" w:themeColor="text1"/>
          <w:sz w:val="32"/>
          <w:szCs w:val="32"/>
          <w:lang w:val="en-US" w:eastAsia="zh-CN"/>
          <w14:textFill>
            <w14:solidFill>
              <w14:schemeClr w14:val="tx1"/>
            </w14:solidFill>
          </w14:textFill>
        </w:rPr>
        <w:t>10</w:t>
      </w:r>
      <w:r>
        <w:rPr>
          <w:rFonts w:hint="eastAsia" w:ascii="仿宋" w:hAnsi="仿宋" w:eastAsia="仿宋" w:cs="仿宋"/>
          <w:bCs/>
          <w:color w:val="000000" w:themeColor="text1"/>
          <w:sz w:val="32"/>
          <w:szCs w:val="32"/>
          <w14:textFill>
            <w14:solidFill>
              <w14:schemeClr w14:val="tx1"/>
            </w14:solidFill>
          </w14:textFill>
        </w:rPr>
        <w:t>月</w:t>
      </w:r>
      <w:r>
        <w:rPr>
          <w:rFonts w:hint="eastAsia" w:ascii="仿宋" w:hAnsi="仿宋" w:eastAsia="仿宋" w:cs="仿宋"/>
          <w:bCs/>
          <w:color w:val="000000" w:themeColor="text1"/>
          <w:sz w:val="32"/>
          <w:szCs w:val="32"/>
          <w:lang w:val="en-US" w:eastAsia="zh-CN"/>
          <w14:textFill>
            <w14:solidFill>
              <w14:schemeClr w14:val="tx1"/>
            </w14:solidFill>
          </w14:textFill>
        </w:rPr>
        <w:t>22</w:t>
      </w:r>
      <w:bookmarkStart w:id="0" w:name="_GoBack"/>
      <w:bookmarkEnd w:id="0"/>
      <w:r>
        <w:rPr>
          <w:rFonts w:hint="eastAsia" w:ascii="仿宋" w:hAnsi="仿宋" w:eastAsia="仿宋" w:cs="仿宋"/>
          <w:bCs/>
          <w:color w:val="000000" w:themeColor="text1"/>
          <w:sz w:val="32"/>
          <w:szCs w:val="32"/>
          <w14:textFill>
            <w14:solidFill>
              <w14:schemeClr w14:val="tx1"/>
            </w14:solidFill>
          </w14:textFill>
        </w:rPr>
        <w:t>日</w:t>
      </w:r>
    </w:p>
    <w:p>
      <w:pPr>
        <w:rPr>
          <w:rFonts w:hint="eastAsia" w:ascii="仿宋" w:hAnsi="仿宋" w:eastAsia="仿宋" w:cs="仿宋"/>
          <w:b w:val="0"/>
          <w:bCs/>
          <w:color w:val="000000" w:themeColor="text1"/>
          <w:sz w:val="32"/>
          <w:szCs w:val="32"/>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40CA74"/>
    <w:multiLevelType w:val="singleLevel"/>
    <w:tmpl w:val="6140CA7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542971"/>
    <w:rsid w:val="00C71EF9"/>
    <w:rsid w:val="02B03E3C"/>
    <w:rsid w:val="052E1CA3"/>
    <w:rsid w:val="073564DA"/>
    <w:rsid w:val="0FBB2F50"/>
    <w:rsid w:val="192F4FE0"/>
    <w:rsid w:val="1A8E1219"/>
    <w:rsid w:val="1B4023BA"/>
    <w:rsid w:val="1EA204FC"/>
    <w:rsid w:val="1F6552C0"/>
    <w:rsid w:val="24720665"/>
    <w:rsid w:val="2A5672C0"/>
    <w:rsid w:val="2B420828"/>
    <w:rsid w:val="2D8943C0"/>
    <w:rsid w:val="2F715C38"/>
    <w:rsid w:val="31DD78DE"/>
    <w:rsid w:val="38EB6A43"/>
    <w:rsid w:val="39593C04"/>
    <w:rsid w:val="3BB82DF5"/>
    <w:rsid w:val="40401A6B"/>
    <w:rsid w:val="42BF0CC3"/>
    <w:rsid w:val="475305C3"/>
    <w:rsid w:val="4D311B88"/>
    <w:rsid w:val="4EFA7155"/>
    <w:rsid w:val="4F512D07"/>
    <w:rsid w:val="501C6FD4"/>
    <w:rsid w:val="522A3541"/>
    <w:rsid w:val="531B6F67"/>
    <w:rsid w:val="58AB518D"/>
    <w:rsid w:val="604F2816"/>
    <w:rsid w:val="61DE7554"/>
    <w:rsid w:val="64B65258"/>
    <w:rsid w:val="65C3287D"/>
    <w:rsid w:val="675250B4"/>
    <w:rsid w:val="6D0C199F"/>
    <w:rsid w:val="6FE47F59"/>
    <w:rsid w:val="74274A07"/>
    <w:rsid w:val="75542971"/>
    <w:rsid w:val="757C79A0"/>
    <w:rsid w:val="7B314B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customStyle="1" w:styleId="2">
    <w:name w:val="样式 标题 2 + 宋体"/>
    <w:basedOn w:val="3"/>
    <w:qFormat/>
    <w:uiPriority w:val="0"/>
    <w:pPr>
      <w:spacing w:line="240" w:lineRule="auto"/>
    </w:pPr>
    <w:rPr>
      <w:rFonts w:ascii="宋体" w:hAnsi="宋体" w:eastAsia="宋体"/>
      <w:sz w:val="30"/>
    </w:rPr>
  </w:style>
  <w:style w:type="paragraph" w:styleId="4">
    <w:name w:val="annotation text"/>
    <w:basedOn w:val="1"/>
    <w:qFormat/>
    <w:uiPriority w:val="99"/>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18"/>
      <w:szCs w:val="18"/>
      <w:lang w:val="en-US" w:eastAsia="zh-CN" w:bidi="ar"/>
    </w:rPr>
  </w:style>
  <w:style w:type="character" w:styleId="10">
    <w:name w:val="FollowedHyperlink"/>
    <w:basedOn w:val="9"/>
    <w:qFormat/>
    <w:uiPriority w:val="0"/>
    <w:rPr>
      <w:color w:val="000000"/>
      <w:u w:val="none"/>
    </w:rPr>
  </w:style>
  <w:style w:type="character" w:styleId="11">
    <w:name w:val="Hyperlink"/>
    <w:basedOn w:val="9"/>
    <w:qFormat/>
    <w:uiPriority w:val="0"/>
    <w:rPr>
      <w:color w:val="000000"/>
      <w:u w:val="none"/>
    </w:rPr>
  </w:style>
  <w:style w:type="paragraph" w:customStyle="1" w:styleId="12">
    <w:name w:val="p0"/>
    <w:basedOn w:val="1"/>
    <w:qFormat/>
    <w:uiPriority w:val="0"/>
    <w:pPr>
      <w:widowControl/>
      <w:jc w:val="left"/>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2018-02-24T03:15:00Z</dcterms:created>
  <dc:creator>Administrator</dc:creator>
  <cp:lastModifiedBy>天蓝水清</cp:lastModifiedBy>
  <cp:lastPrinted>2019-04-24T02:12:00Z</cp:lastPrinted>
  <dcterms:modified xsi:type="dcterms:W3CDTF">2019-10-22T01:05:21Z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