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21</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雷州市镇区生活污水处理PPP项目杨家镇镇区生活污水处理项目环境影响报告表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1"/>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雷州市镇区生活污水处理PPP项目杨家镇镇区生活污水处理项目环境影响报告表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和我局环评审批领导小组意见，在认真落实《报告表》提出的各项环境保护措施和建议的前提下，</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项目</w:t>
      </w:r>
      <w:r>
        <w:rPr>
          <w:rFonts w:hint="eastAsia" w:ascii="仿宋" w:hAnsi="仿宋" w:eastAsia="仿宋" w:cs="仿宋"/>
          <w:sz w:val="32"/>
          <w:szCs w:val="32"/>
        </w:rPr>
        <w:t>选址位于雷州市杨家镇区东北侧</w:t>
      </w:r>
      <w:r>
        <w:rPr>
          <w:rFonts w:hint="eastAsia" w:ascii="仿宋" w:hAnsi="仿宋" w:eastAsia="仿宋" w:cs="仿宋"/>
          <w:sz w:val="32"/>
          <w:szCs w:val="32"/>
          <w:lang w:eastAsia="zh-CN"/>
        </w:rPr>
        <w:t>，</w:t>
      </w:r>
      <w:r>
        <w:rPr>
          <w:rFonts w:hint="eastAsia" w:ascii="仿宋" w:hAnsi="仿宋" w:eastAsia="仿宋" w:cs="仿宋"/>
          <w:sz w:val="32"/>
          <w:szCs w:val="32"/>
        </w:rPr>
        <w:t>总投资3170.74万元，总占地面积为6614.4m2，总建筑面积为1023.9m2，污水处理量2500m3/d（即91.25万m3/a），配套污水管网总长6617m。项目污水处理厂的</w:t>
      </w:r>
      <w:r>
        <w:rPr>
          <w:rFonts w:hint="eastAsia" w:ascii="仿宋" w:hAnsi="仿宋" w:eastAsia="仿宋" w:cs="仿宋"/>
          <w:sz w:val="32"/>
          <w:szCs w:val="32"/>
          <w:lang w:val="zh-CN"/>
        </w:rPr>
        <w:t>主要构建筑物有：</w:t>
      </w:r>
      <w:r>
        <w:rPr>
          <w:rFonts w:hint="eastAsia" w:ascii="仿宋" w:hAnsi="仿宋" w:eastAsia="仿宋" w:cs="仿宋"/>
          <w:sz w:val="32"/>
          <w:szCs w:val="32"/>
        </w:rPr>
        <w:t>粗格栅、沉砂池、调节池及提升泵房、细格栅、AAO生化池及二沉池、深度处理系统（机械混合、絮凝、斜管沉淀、滤布滤池）、污泥缓存池、污泥脱水间、紫外消毒渠及巴氏计量槽、鼓风机房及变配电间、进（出）水仪表间、辅助用房（综合楼、门卫室）等</w:t>
      </w:r>
      <w:r>
        <w:rPr>
          <w:rFonts w:hint="eastAsia" w:ascii="仿宋" w:hAnsi="仿宋" w:eastAsia="仿宋" w:cs="仿宋"/>
          <w:sz w:val="32"/>
          <w:szCs w:val="32"/>
          <w:lang w:eastAsia="zh-CN"/>
        </w:rPr>
        <w:t>。</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 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p>
    <w:p>
      <w:pPr>
        <w:keepNext w:val="0"/>
        <w:keepLines w:val="0"/>
        <w:pageBreakBefore w:val="0"/>
        <w:numPr>
          <w:ilvl w:val="0"/>
          <w:numId w:val="2"/>
        </w:numPr>
        <w:kinsoku/>
        <w:wordWrap/>
        <w:overflowPunct/>
        <w:topLinePunct w:val="0"/>
        <w:autoSpaceDE/>
        <w:autoSpaceDN/>
        <w:bidi w:val="0"/>
        <w:adjustRightInd/>
        <w:snapToGrid/>
        <w:spacing w:line="580" w:lineRule="exact"/>
        <w:ind w:right="0" w:rightChars="0" w:firstLine="640" w:firstLineChars="200"/>
        <w:textAlignment w:val="auto"/>
        <w:outlineLvl w:val="9"/>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sz w:val="32"/>
          <w:szCs w:val="32"/>
          <w:lang w:val="en-US" w:eastAsia="zh-CN"/>
        </w:rPr>
        <w:t>加强污水处理厂噪声污染控制，对产生噪声的设备进行合理布局，并采取有效的隔音消声减振措施，确保厂界噪声符合《工业企业厂界环境噪声排放标准》（GB12348-2008）2类标准。</w:t>
      </w:r>
      <w:r>
        <w:rPr>
          <w:rFonts w:hint="eastAsia"/>
          <w:sz w:val="32"/>
          <w:szCs w:val="32"/>
          <w:lang w:val="en-US" w:eastAsia="zh-CN"/>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（六）制定环境风险应急预案，落实风险防范措施，确保环境安全。</w:t>
      </w:r>
    </w:p>
    <w:p>
      <w:pPr>
        <w:pStyle w:val="2"/>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b w:val="0"/>
          <w:bCs w:val="0"/>
          <w:sz w:val="32"/>
          <w:szCs w:val="32"/>
        </w:rPr>
      </w:pPr>
      <w:r>
        <w:rPr>
          <w:rFonts w:hint="eastAsia" w:ascii="仿宋" w:hAnsi="仿宋" w:eastAsia="仿宋" w:cs="仿宋"/>
          <w:b w:val="0"/>
          <w:bCs w:val="0"/>
          <w:sz w:val="32"/>
          <w:szCs w:val="32"/>
          <w:lang w:val="en-US" w:eastAsia="zh-CN"/>
        </w:rPr>
        <w:t>（七）进一步完善生活污水管网建设，提高生活污水收集率。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jc w:val="both"/>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7</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31</w:t>
      </w:r>
      <w:bookmarkStart w:id="0" w:name="_GoBack"/>
      <w:bookmarkEnd w:id="0"/>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6B01ED"/>
    <w:multiLevelType w:val="singleLevel"/>
    <w:tmpl w:val="C16B01ED"/>
    <w:lvl w:ilvl="0" w:tentative="0">
      <w:start w:val="4"/>
      <w:numFmt w:val="chineseCounting"/>
      <w:suff w:val="nothing"/>
      <w:lvlText w:val="（%1）"/>
      <w:lvlJc w:val="left"/>
      <w:rPr>
        <w:rFonts w:hint="eastAsia"/>
      </w:rPr>
    </w:lvl>
  </w:abstractNum>
  <w:abstractNum w:abstractNumId="1">
    <w:nsid w:val="6140CA74"/>
    <w:multiLevelType w:val="singleLevel"/>
    <w:tmpl w:val="6140CA74"/>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FBB2F50"/>
    <w:rsid w:val="16496F1D"/>
    <w:rsid w:val="1A8E1219"/>
    <w:rsid w:val="1AE01E57"/>
    <w:rsid w:val="1F6552C0"/>
    <w:rsid w:val="24720665"/>
    <w:rsid w:val="2A5672C0"/>
    <w:rsid w:val="2D8943C0"/>
    <w:rsid w:val="2F715C38"/>
    <w:rsid w:val="31DD78DE"/>
    <w:rsid w:val="331561A3"/>
    <w:rsid w:val="332C434A"/>
    <w:rsid w:val="33A30970"/>
    <w:rsid w:val="3BB82DF5"/>
    <w:rsid w:val="475305C3"/>
    <w:rsid w:val="4D311B88"/>
    <w:rsid w:val="4EFA7155"/>
    <w:rsid w:val="4F512D07"/>
    <w:rsid w:val="501C6FD4"/>
    <w:rsid w:val="522A3541"/>
    <w:rsid w:val="531B6F67"/>
    <w:rsid w:val="61DE7554"/>
    <w:rsid w:val="64B65258"/>
    <w:rsid w:val="65C3287D"/>
    <w:rsid w:val="6BAD2C66"/>
    <w:rsid w:val="6D0C199F"/>
    <w:rsid w:val="6FE47F59"/>
    <w:rsid w:val="75542971"/>
    <w:rsid w:val="757C79A0"/>
    <w:rsid w:val="7B314BFF"/>
    <w:rsid w:val="7E9E69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9">
    <w:name w:val="FollowedHyperlink"/>
    <w:basedOn w:val="8"/>
    <w:qFormat/>
    <w:uiPriority w:val="0"/>
    <w:rPr>
      <w:color w:val="000000"/>
      <w:u w:val="none"/>
    </w:rPr>
  </w:style>
  <w:style w:type="character" w:styleId="10">
    <w:name w:val="Hyperlink"/>
    <w:basedOn w:val="8"/>
    <w:qFormat/>
    <w:uiPriority w:val="0"/>
    <w:rPr>
      <w:color w:val="000000"/>
      <w:u w:val="none"/>
    </w:rPr>
  </w:style>
  <w:style w:type="paragraph" w:customStyle="1" w:styleId="11">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2019-07-31T07:49:54Z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