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仿宋" w:hAnsi="仿宋" w:eastAsia="仿宋" w:cs="仿宋"/>
          <w:b w:val="0"/>
          <w:bCs/>
          <w:color w:val="000000" w:themeColor="text1"/>
          <w:sz w:val="32"/>
          <w:szCs w:val="32"/>
          <w14:textFill>
            <w14:solidFill>
              <w14:schemeClr w14:val="tx1"/>
            </w14:solidFill>
          </w14:textFill>
        </w:rPr>
      </w:pPr>
    </w:p>
    <w:p>
      <w:pPr>
        <w:spacing w:line="600" w:lineRule="exact"/>
        <w:jc w:val="right"/>
        <w:rPr>
          <w:rFonts w:hint="eastAsia" w:ascii="仿宋" w:hAnsi="仿宋" w:eastAsia="仿宋" w:cs="仿宋"/>
          <w:color w:val="000000" w:themeColor="text1"/>
          <w:sz w:val="32"/>
          <w:szCs w:val="32"/>
          <w14:textFill>
            <w14:solidFill>
              <w14:schemeClr w14:val="tx1"/>
            </w14:solidFill>
          </w14:textFill>
        </w:rPr>
      </w:pPr>
    </w:p>
    <w:p>
      <w:pPr>
        <w:wordWrap w:val="0"/>
        <w:spacing w:line="600" w:lineRule="exact"/>
        <w:jc w:val="right"/>
        <w:rPr>
          <w:rFonts w:hint="eastAsia" w:ascii="仿宋" w:hAnsi="仿宋" w:eastAsia="仿宋" w:cs="仿宋"/>
          <w:b/>
          <w:bCs w:val="0"/>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雷环建〔201</w:t>
      </w:r>
      <w:r>
        <w:rPr>
          <w:rFonts w:hint="eastAsia" w:ascii="仿宋" w:hAnsi="仿宋" w:eastAsia="仿宋" w:cs="仿宋"/>
          <w:color w:val="000000" w:themeColor="text1"/>
          <w:sz w:val="32"/>
          <w:szCs w:val="32"/>
          <w:lang w:val="en-US" w:eastAsia="zh-CN"/>
          <w14:textFill>
            <w14:solidFill>
              <w14:schemeClr w14:val="tx1"/>
            </w14:solidFill>
          </w14:textFill>
        </w:rPr>
        <w:t>9</w:t>
      </w: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20</w:t>
      </w:r>
      <w:r>
        <w:rPr>
          <w:rFonts w:hint="eastAsia" w:ascii="仿宋" w:hAnsi="仿宋" w:eastAsia="仿宋" w:cs="仿宋"/>
          <w:color w:val="000000" w:themeColor="text1"/>
          <w:sz w:val="32"/>
          <w:szCs w:val="32"/>
          <w14:textFill>
            <w14:solidFill>
              <w14:schemeClr w14:val="tx1"/>
            </w14:solidFill>
          </w14:textFill>
        </w:rPr>
        <w:t>号</w:t>
      </w:r>
      <w:r>
        <w:rPr>
          <w:rFonts w:hint="eastAsia" w:ascii="仿宋" w:hAnsi="仿宋" w:eastAsia="仿宋" w:cs="仿宋"/>
          <w:color w:val="000000" w:themeColor="text1"/>
          <w:sz w:val="32"/>
          <w:szCs w:val="32"/>
          <w:lang w:val="en-US" w:eastAsia="zh-CN"/>
          <w14:textFill>
            <w14:solidFill>
              <w14:schemeClr w14:val="tx1"/>
            </w14:solidFill>
          </w14:textFill>
        </w:rPr>
        <w:t xml:space="preserve"> </w:t>
      </w:r>
    </w:p>
    <w:p>
      <w:pPr>
        <w:spacing w:line="560" w:lineRule="exact"/>
        <w:jc w:val="center"/>
        <w:rPr>
          <w:rFonts w:hint="eastAsia" w:ascii="仿宋" w:hAnsi="仿宋" w:eastAsia="仿宋" w:cs="仿宋"/>
          <w:b/>
          <w:bCs w:val="0"/>
          <w:color w:val="000000" w:themeColor="text1"/>
          <w:sz w:val="32"/>
          <w:szCs w:val="32"/>
          <w14:textFill>
            <w14:solidFill>
              <w14:schemeClr w14:val="tx1"/>
            </w14:solidFill>
          </w14:textFill>
        </w:rPr>
      </w:pPr>
    </w:p>
    <w:p>
      <w:pPr>
        <w:spacing w:line="560" w:lineRule="exact"/>
        <w:jc w:val="center"/>
        <w:rPr>
          <w:rFonts w:hint="eastAsia" w:ascii="仿宋" w:hAnsi="仿宋" w:eastAsia="仿宋" w:cs="仿宋"/>
          <w:b w:val="0"/>
          <w:bCs/>
          <w:color w:val="000000" w:themeColor="text1"/>
          <w:sz w:val="36"/>
          <w:szCs w:val="36"/>
          <w14:textFill>
            <w14:solidFill>
              <w14:schemeClr w14:val="tx1"/>
            </w14:solidFill>
          </w14:textFill>
        </w:rPr>
      </w:pPr>
      <w:r>
        <w:rPr>
          <w:rFonts w:hint="eastAsia" w:ascii="仿宋" w:hAnsi="仿宋" w:eastAsia="仿宋" w:cs="仿宋"/>
          <w:b/>
          <w:bCs w:val="0"/>
          <w:color w:val="000000" w:themeColor="text1"/>
          <w:sz w:val="36"/>
          <w:szCs w:val="36"/>
          <w14:textFill>
            <w14:solidFill>
              <w14:schemeClr w14:val="tx1"/>
            </w14:solidFill>
          </w14:textFill>
        </w:rPr>
        <w:t>关于</w:t>
      </w:r>
      <w:r>
        <w:rPr>
          <w:rFonts w:hint="eastAsia" w:ascii="仿宋" w:hAnsi="仿宋" w:eastAsia="仿宋" w:cs="仿宋"/>
          <w:b/>
          <w:bCs w:val="0"/>
          <w:color w:val="000000" w:themeColor="text1"/>
          <w:sz w:val="36"/>
          <w:szCs w:val="36"/>
          <w:lang w:eastAsia="zh-CN"/>
          <w14:textFill>
            <w14:solidFill>
              <w14:schemeClr w14:val="tx1"/>
            </w14:solidFill>
          </w14:textFill>
        </w:rPr>
        <w:t>雷州市镇区生活污水处理PPP项目龙门镇镇区生活污水处理项目环境影响报告</w:t>
      </w:r>
      <w:r>
        <w:rPr>
          <w:rFonts w:hint="eastAsia" w:ascii="仿宋" w:hAnsi="仿宋" w:eastAsia="仿宋" w:cs="仿宋"/>
          <w:b/>
          <w:bCs w:val="0"/>
          <w:color w:val="000000" w:themeColor="text1"/>
          <w:sz w:val="36"/>
          <w:szCs w:val="36"/>
          <w:lang w:val="en-US" w:eastAsia="zh-CN"/>
          <w14:textFill>
            <w14:solidFill>
              <w14:schemeClr w14:val="tx1"/>
            </w14:solidFill>
          </w14:textFill>
        </w:rPr>
        <w:t>表</w:t>
      </w:r>
      <w:r>
        <w:rPr>
          <w:rFonts w:hint="eastAsia" w:ascii="仿宋" w:hAnsi="仿宋" w:eastAsia="仿宋" w:cs="仿宋"/>
          <w:b/>
          <w:bCs w:val="0"/>
          <w:color w:val="000000" w:themeColor="text1"/>
          <w:sz w:val="36"/>
          <w:szCs w:val="36"/>
          <w:lang w:val="zh-CN"/>
          <w14:textFill>
            <w14:solidFill>
              <w14:schemeClr w14:val="tx1"/>
            </w14:solidFill>
          </w14:textFill>
        </w:rPr>
        <w:t>的批复</w:t>
      </w:r>
    </w:p>
    <w:p>
      <w:pPr>
        <w:rPr>
          <w:rFonts w:hint="eastAsia" w:ascii="仿宋" w:hAnsi="仿宋" w:eastAsia="仿宋" w:cs="仿宋"/>
          <w:b w:val="0"/>
          <w:bCs/>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580" w:lineRule="exact"/>
        <w:ind w:left="0" w:leftChars="0" w:right="0" w:rightChars="0"/>
        <w:textAlignment w:val="auto"/>
        <w:outlineLvl w:val="9"/>
        <w:rPr>
          <w:rFonts w:hint="eastAsia" w:ascii="仿宋" w:hAnsi="仿宋" w:eastAsia="仿宋" w:cs="仿宋"/>
          <w:b w:val="0"/>
          <w:bCs/>
          <w:color w:val="000000" w:themeColor="text1"/>
          <w:sz w:val="32"/>
          <w:szCs w:val="32"/>
          <w14:textFill>
            <w14:solidFill>
              <w14:schemeClr w14:val="tx1"/>
            </w14:solidFill>
          </w14:textFill>
        </w:rPr>
      </w:pPr>
      <w:r>
        <w:rPr>
          <w:rFonts w:hint="eastAsia" w:ascii="仿宋" w:hAnsi="仿宋" w:eastAsia="仿宋" w:cs="仿宋"/>
          <w:b w:val="0"/>
          <w:bCs w:val="0"/>
          <w:color w:val="000000" w:themeColor="text1"/>
          <w:sz w:val="32"/>
          <w:szCs w:val="32"/>
          <w14:textFill>
            <w14:solidFill>
              <w14:schemeClr w14:val="tx1"/>
            </w14:solidFill>
          </w14:textFill>
        </w:rPr>
        <w:t>雷州博瑞水务有限公司</w:t>
      </w:r>
      <w:r>
        <w:rPr>
          <w:rFonts w:hint="eastAsia" w:ascii="仿宋" w:hAnsi="仿宋" w:eastAsia="仿宋" w:cs="仿宋"/>
          <w:b w:val="0"/>
          <w:bCs/>
          <w:color w:val="000000" w:themeColor="text1"/>
          <w:sz w:val="32"/>
          <w:szCs w:val="32"/>
          <w14:textFill>
            <w14:solidFill>
              <w14:schemeClr w14:val="tx1"/>
            </w14:solidFill>
          </w14:textFill>
        </w:rPr>
        <w:t>： </w:t>
      </w:r>
    </w:p>
    <w:p>
      <w:pPr>
        <w:pStyle w:val="11"/>
        <w:keepNext w:val="0"/>
        <w:keepLines w:val="0"/>
        <w:pageBreakBefore w:val="0"/>
        <w:kinsoku/>
        <w:wordWrap/>
        <w:overflowPunct/>
        <w:topLinePunct w:val="0"/>
        <w:autoSpaceDE/>
        <w:autoSpaceDN/>
        <w:bidi w:val="0"/>
        <w:adjustRightInd/>
        <w:snapToGrid/>
        <w:spacing w:line="580" w:lineRule="exact"/>
        <w:ind w:left="0" w:leftChars="0" w:right="0" w:rightChars="0" w:firstLine="640" w:firstLineChars="200"/>
        <w:textAlignment w:val="auto"/>
        <w:outlineLvl w:val="9"/>
        <w:rPr>
          <w:rFonts w:hint="eastAsia" w:ascii="仿宋" w:hAnsi="仿宋" w:eastAsia="仿宋" w:cs="仿宋"/>
          <w:b w:val="0"/>
          <w:bCs/>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你</w:t>
      </w:r>
      <w:r>
        <w:rPr>
          <w:rFonts w:hint="eastAsia" w:ascii="仿宋" w:hAnsi="仿宋" w:eastAsia="仿宋" w:cs="仿宋"/>
          <w:color w:val="000000" w:themeColor="text1"/>
          <w:sz w:val="32"/>
          <w:szCs w:val="32"/>
          <w:lang w:eastAsia="zh-CN"/>
          <w14:textFill>
            <w14:solidFill>
              <w14:schemeClr w14:val="tx1"/>
            </w14:solidFill>
          </w14:textFill>
        </w:rPr>
        <w:t>公司</w:t>
      </w:r>
      <w:r>
        <w:rPr>
          <w:rFonts w:hint="eastAsia" w:ascii="仿宋" w:hAnsi="仿宋" w:eastAsia="仿宋" w:cs="仿宋"/>
          <w:color w:val="000000" w:themeColor="text1"/>
          <w:sz w:val="32"/>
          <w:szCs w:val="32"/>
          <w14:textFill>
            <w14:solidFill>
              <w14:schemeClr w14:val="tx1"/>
            </w14:solidFill>
          </w14:textFill>
        </w:rPr>
        <w:t>报送的</w:t>
      </w:r>
      <w:r>
        <w:rPr>
          <w:rFonts w:hint="eastAsia" w:ascii="仿宋" w:hAnsi="仿宋" w:eastAsia="仿宋" w:cs="仿宋"/>
          <w:b w:val="0"/>
          <w:bCs w:val="0"/>
          <w:color w:val="000000" w:themeColor="text1"/>
          <w:sz w:val="32"/>
          <w:szCs w:val="32"/>
          <w14:textFill>
            <w14:solidFill>
              <w14:schemeClr w14:val="tx1"/>
            </w14:solidFill>
          </w14:textFill>
        </w:rPr>
        <w:t>《</w:t>
      </w:r>
      <w:r>
        <w:rPr>
          <w:rFonts w:hint="eastAsia" w:ascii="仿宋" w:hAnsi="仿宋" w:eastAsia="仿宋" w:cs="仿宋"/>
          <w:b w:val="0"/>
          <w:bCs w:val="0"/>
          <w:color w:val="000000" w:themeColor="text1"/>
          <w:sz w:val="32"/>
          <w:szCs w:val="32"/>
          <w:lang w:eastAsia="zh-CN"/>
          <w14:textFill>
            <w14:solidFill>
              <w14:schemeClr w14:val="tx1"/>
            </w14:solidFill>
          </w14:textFill>
        </w:rPr>
        <w:t>雷州市镇区生活污水处理PPP项目龙门镇镇区生活污水处理项目环境影响报告表</w:t>
      </w:r>
      <w:r>
        <w:rPr>
          <w:rFonts w:hint="eastAsia" w:ascii="仿宋" w:hAnsi="仿宋" w:eastAsia="仿宋" w:cs="仿宋"/>
          <w:color w:val="000000" w:themeColor="text1"/>
          <w:sz w:val="32"/>
          <w:szCs w:val="32"/>
          <w14:textFill>
            <w14:solidFill>
              <w14:schemeClr w14:val="tx1"/>
            </w14:solidFill>
          </w14:textFill>
        </w:rPr>
        <w:t>》（以下简称</w:t>
      </w:r>
      <w:r>
        <w:rPr>
          <w:rFonts w:hint="eastAsia" w:ascii="仿宋" w:hAnsi="仿宋" w:eastAsia="仿宋" w:cs="仿宋"/>
          <w:b w:val="0"/>
          <w:bCs/>
          <w:color w:val="000000" w:themeColor="text1"/>
          <w:sz w:val="32"/>
          <w:szCs w:val="32"/>
          <w14:textFill>
            <w14:solidFill>
              <w14:schemeClr w14:val="tx1"/>
            </w14:solidFill>
          </w14:textFill>
        </w:rPr>
        <w:t>《报告表》</w:t>
      </w: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lang w:eastAsia="zh-CN"/>
          <w14:textFill>
            <w14:solidFill>
              <w14:schemeClr w14:val="tx1"/>
            </w14:solidFill>
          </w14:textFill>
        </w:rPr>
        <w:t>及有关材料</w:t>
      </w:r>
      <w:r>
        <w:rPr>
          <w:rFonts w:hint="eastAsia" w:ascii="仿宋" w:hAnsi="仿宋" w:eastAsia="仿宋" w:cs="仿宋"/>
          <w:color w:val="000000" w:themeColor="text1"/>
          <w:sz w:val="32"/>
          <w:szCs w:val="32"/>
          <w14:textFill>
            <w14:solidFill>
              <w14:schemeClr w14:val="tx1"/>
            </w14:solidFill>
          </w14:textFill>
        </w:rPr>
        <w:t>收悉，</w:t>
      </w:r>
      <w:r>
        <w:rPr>
          <w:rFonts w:hint="eastAsia" w:ascii="仿宋" w:hAnsi="仿宋" w:eastAsia="仿宋" w:cs="仿宋"/>
          <w:b w:val="0"/>
          <w:bCs/>
          <w:color w:val="000000" w:themeColor="text1"/>
          <w:sz w:val="32"/>
          <w:szCs w:val="32"/>
          <w14:textFill>
            <w14:solidFill>
              <w14:schemeClr w14:val="tx1"/>
            </w14:solidFill>
          </w14:textFill>
        </w:rPr>
        <w:t>我局按照建设项目环境管理有关规定对该项目进行审查，批复如下： </w:t>
      </w:r>
    </w:p>
    <w:p>
      <w:pPr>
        <w:keepNext w:val="0"/>
        <w:keepLines w:val="0"/>
        <w:pageBreakBefore w:val="0"/>
        <w:numPr>
          <w:ilvl w:val="0"/>
          <w:numId w:val="1"/>
        </w:numPr>
        <w:kinsoku/>
        <w:wordWrap/>
        <w:overflowPunct/>
        <w:topLinePunct w:val="0"/>
        <w:autoSpaceDE/>
        <w:autoSpaceDN/>
        <w:bidi w:val="0"/>
        <w:adjustRightInd/>
        <w:snapToGrid/>
        <w:spacing w:line="580" w:lineRule="exact"/>
        <w:ind w:left="0" w:leftChars="0" w:right="0" w:rightChars="0" w:firstLine="640" w:firstLineChars="200"/>
        <w:textAlignment w:val="auto"/>
        <w:outlineLvl w:val="9"/>
        <w:rPr>
          <w:rFonts w:hint="eastAsia" w:ascii="仿宋" w:hAnsi="仿宋" w:eastAsia="仿宋" w:cs="仿宋"/>
          <w:b w:val="0"/>
          <w:bCs/>
          <w:color w:val="000000" w:themeColor="text1"/>
          <w:sz w:val="32"/>
          <w:szCs w:val="32"/>
          <w:lang w:eastAsia="zh-CN"/>
          <w14:textFill>
            <w14:solidFill>
              <w14:schemeClr w14:val="tx1"/>
            </w14:solidFill>
          </w14:textFill>
        </w:rPr>
      </w:pPr>
      <w:r>
        <w:rPr>
          <w:rFonts w:hint="eastAsia" w:ascii="仿宋" w:hAnsi="仿宋" w:eastAsia="仿宋" w:cs="仿宋"/>
          <w:b w:val="0"/>
          <w:bCs/>
          <w:color w:val="000000" w:themeColor="text1"/>
          <w:sz w:val="32"/>
          <w:szCs w:val="32"/>
          <w14:textFill>
            <w14:solidFill>
              <w14:schemeClr w14:val="tx1"/>
            </w14:solidFill>
          </w14:textFill>
        </w:rPr>
        <w:t>根据《报告表》的综合</w:t>
      </w:r>
      <w:r>
        <w:rPr>
          <w:rFonts w:hint="eastAsia" w:ascii="仿宋" w:hAnsi="仿宋" w:eastAsia="仿宋" w:cs="仿宋"/>
          <w:b w:val="0"/>
          <w:bCs/>
          <w:color w:val="000000" w:themeColor="text1"/>
          <w:sz w:val="32"/>
          <w:szCs w:val="32"/>
          <w:lang w:eastAsia="zh-CN"/>
          <w14:textFill>
            <w14:solidFill>
              <w14:schemeClr w14:val="tx1"/>
            </w14:solidFill>
          </w14:textFill>
        </w:rPr>
        <w:t>结论</w:t>
      </w:r>
      <w:r>
        <w:rPr>
          <w:rFonts w:hint="eastAsia" w:ascii="仿宋" w:hAnsi="仿宋" w:eastAsia="仿宋" w:cs="仿宋"/>
          <w:b w:val="0"/>
          <w:bCs/>
          <w:color w:val="000000" w:themeColor="text1"/>
          <w:sz w:val="32"/>
          <w:szCs w:val="32"/>
          <w14:textFill>
            <w14:solidFill>
              <w14:schemeClr w14:val="tx1"/>
            </w14:solidFill>
          </w14:textFill>
        </w:rPr>
        <w:t>和我局环评审批领导小组意见，在认真落实《报告表》提出的各项环境保护措施和建议的前提下，</w:t>
      </w:r>
      <w:r>
        <w:rPr>
          <w:rFonts w:hint="eastAsia" w:ascii="仿宋" w:hAnsi="仿宋" w:eastAsia="仿宋" w:cs="仿宋"/>
          <w:b w:val="0"/>
          <w:bCs/>
          <w:color w:val="000000" w:themeColor="text1"/>
          <w:sz w:val="32"/>
          <w:szCs w:val="32"/>
          <w:lang w:eastAsia="zh-CN"/>
          <w14:textFill>
            <w14:solidFill>
              <w14:schemeClr w14:val="tx1"/>
            </w14:solidFill>
          </w14:textFill>
        </w:rPr>
        <w:t>仅</w:t>
      </w:r>
      <w:r>
        <w:rPr>
          <w:rFonts w:hint="eastAsia" w:ascii="仿宋" w:hAnsi="仿宋" w:eastAsia="仿宋" w:cs="仿宋"/>
          <w:b w:val="0"/>
          <w:bCs/>
          <w:color w:val="000000" w:themeColor="text1"/>
          <w:sz w:val="32"/>
          <w:szCs w:val="32"/>
          <w14:textFill>
            <w14:solidFill>
              <w14:schemeClr w14:val="tx1"/>
            </w14:solidFill>
          </w14:textFill>
        </w:rPr>
        <w:t>从环境保护角度，</w:t>
      </w:r>
      <w:r>
        <w:rPr>
          <w:rFonts w:hint="eastAsia" w:ascii="仿宋" w:hAnsi="仿宋" w:eastAsia="仿宋" w:cs="仿宋"/>
          <w:color w:val="000000" w:themeColor="text1"/>
          <w:sz w:val="32"/>
          <w:szCs w:val="32"/>
          <w14:textFill>
            <w14:solidFill>
              <w14:schemeClr w14:val="tx1"/>
            </w14:solidFill>
          </w14:textFill>
        </w:rPr>
        <w:t>我局同意该项目按报告表申报的</w:t>
      </w:r>
      <w:r>
        <w:rPr>
          <w:rFonts w:hint="eastAsia" w:ascii="仿宋" w:hAnsi="仿宋" w:eastAsia="仿宋" w:cs="仿宋"/>
          <w:color w:val="000000" w:themeColor="text1"/>
          <w:sz w:val="32"/>
          <w:szCs w:val="32"/>
          <w:lang w:eastAsia="zh-CN"/>
          <w14:textFill>
            <w14:solidFill>
              <w14:schemeClr w14:val="tx1"/>
            </w14:solidFill>
          </w14:textFill>
        </w:rPr>
        <w:t>项目性质、规模、环境保护措施进行</w:t>
      </w:r>
      <w:r>
        <w:rPr>
          <w:rFonts w:hint="eastAsia" w:ascii="仿宋" w:hAnsi="仿宋" w:eastAsia="仿宋" w:cs="仿宋"/>
          <w:color w:val="000000" w:themeColor="text1"/>
          <w:sz w:val="32"/>
          <w:szCs w:val="32"/>
          <w14:textFill>
            <w14:solidFill>
              <w14:schemeClr w14:val="tx1"/>
            </w14:solidFill>
          </w14:textFill>
        </w:rPr>
        <w:t>建设</w:t>
      </w:r>
      <w:r>
        <w:rPr>
          <w:rFonts w:hint="eastAsia" w:ascii="仿宋" w:hAnsi="仿宋" w:eastAsia="仿宋" w:cs="仿宋"/>
          <w:color w:val="000000" w:themeColor="text1"/>
          <w:sz w:val="32"/>
          <w:szCs w:val="32"/>
          <w:lang w:val="en-US" w:eastAsia="zh-CN"/>
          <w14:textFill>
            <w14:solidFill>
              <w14:schemeClr w14:val="tx1"/>
            </w14:solidFill>
          </w14:textFill>
        </w:rPr>
        <w:t>。</w:t>
      </w:r>
      <w:r>
        <w:rPr>
          <w:rFonts w:hint="eastAsia" w:ascii="仿宋" w:hAnsi="仿宋" w:eastAsia="仿宋" w:cs="仿宋"/>
          <w:b w:val="0"/>
          <w:bCs/>
          <w:color w:val="000000" w:themeColor="text1"/>
          <w:sz w:val="32"/>
          <w:szCs w:val="32"/>
          <w:lang w:val="en-US" w:eastAsia="zh-CN"/>
          <w14:textFill>
            <w14:solidFill>
              <w14:schemeClr w14:val="tx1"/>
            </w14:solidFill>
          </w14:textFill>
        </w:rPr>
        <w:t xml:space="preserve">                         </w:t>
      </w:r>
    </w:p>
    <w:p>
      <w:pPr>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项目</w:t>
      </w:r>
      <w:r>
        <w:rPr>
          <w:rFonts w:hint="eastAsia" w:ascii="仿宋" w:hAnsi="仿宋" w:eastAsia="仿宋" w:cs="仿宋"/>
          <w:sz w:val="32"/>
          <w:szCs w:val="32"/>
        </w:rPr>
        <w:t>选址位于雷州市龙门镇北侧</w:t>
      </w:r>
      <w:r>
        <w:rPr>
          <w:rFonts w:hint="eastAsia" w:ascii="仿宋" w:hAnsi="仿宋" w:eastAsia="仿宋" w:cs="仿宋"/>
          <w:sz w:val="32"/>
          <w:szCs w:val="32"/>
          <w:lang w:eastAsia="zh-CN"/>
        </w:rPr>
        <w:t>，</w:t>
      </w:r>
      <w:r>
        <w:rPr>
          <w:rFonts w:hint="eastAsia" w:ascii="仿宋" w:hAnsi="仿宋" w:eastAsia="仿宋" w:cs="仿宋"/>
          <w:sz w:val="32"/>
          <w:szCs w:val="32"/>
        </w:rPr>
        <w:t>总投资6618.53万元，总占地面积为11545.88m2，总建筑面积为2976.11m2，污水处理量7000m3/d（即255.50万m3/a），配套污水管网总长12354m。项目</w:t>
      </w:r>
      <w:r>
        <w:rPr>
          <w:rFonts w:hint="eastAsia" w:ascii="仿宋" w:hAnsi="仿宋" w:eastAsia="仿宋" w:cs="仿宋"/>
          <w:sz w:val="32"/>
          <w:szCs w:val="32"/>
          <w:lang w:val="zh-CN"/>
        </w:rPr>
        <w:t>主要构建筑物有：</w:t>
      </w:r>
      <w:r>
        <w:rPr>
          <w:rFonts w:hint="eastAsia" w:ascii="仿宋" w:hAnsi="仿宋" w:eastAsia="仿宋" w:cs="仿宋"/>
          <w:sz w:val="32"/>
          <w:szCs w:val="32"/>
        </w:rPr>
        <w:t>粗格栅及提升泵房、细格栅及旋流沉砂池、生化池及二沉池、混合、絮凝及沉淀池、滤布滤池、紫外消毒渠及巴士计量槽、污泥调理池、污泥缓存池、污泥脱水间、鼓风机房及变配电间、进（出）水仪表间、辅助用房（综合楼、门卫室）等。</w:t>
      </w:r>
    </w:p>
    <w:p>
      <w:pPr>
        <w:keepNext w:val="0"/>
        <w:keepLines w:val="0"/>
        <w:pageBreakBefore w:val="0"/>
        <w:numPr>
          <w:ilvl w:val="0"/>
          <w:numId w:val="1"/>
        </w:numPr>
        <w:kinsoku/>
        <w:wordWrap/>
        <w:overflowPunct/>
        <w:topLinePunct w:val="0"/>
        <w:autoSpaceDE/>
        <w:autoSpaceDN/>
        <w:bidi w:val="0"/>
        <w:adjustRightInd/>
        <w:snapToGrid/>
        <w:spacing w:line="580" w:lineRule="exact"/>
        <w:ind w:left="0" w:leftChars="0" w:right="0" w:rightChars="0" w:firstLine="640" w:firstLineChars="200"/>
        <w:textAlignment w:val="auto"/>
        <w:outlineLvl w:val="9"/>
        <w:rPr>
          <w:rFonts w:hint="eastAsia" w:ascii="仿宋" w:hAnsi="仿宋" w:eastAsia="仿宋" w:cs="仿宋"/>
          <w:b w:val="0"/>
          <w:bCs/>
          <w:color w:val="000000" w:themeColor="text1"/>
          <w:sz w:val="32"/>
          <w:szCs w:val="32"/>
          <w14:textFill>
            <w14:solidFill>
              <w14:schemeClr w14:val="tx1"/>
            </w14:solidFill>
          </w14:textFill>
        </w:rPr>
      </w:pPr>
      <w:r>
        <w:rPr>
          <w:rFonts w:hint="eastAsia" w:ascii="仿宋" w:hAnsi="仿宋" w:eastAsia="仿宋" w:cs="仿宋"/>
          <w:color w:val="000000" w:themeColor="text1"/>
          <w:kern w:val="0"/>
          <w:sz w:val="32"/>
          <w:szCs w:val="32"/>
          <w:lang w:val="en-US" w:eastAsia="zh-CN" w:bidi="ar"/>
          <w14:textFill>
            <w14:solidFill>
              <w14:schemeClr w14:val="tx1"/>
            </w14:solidFill>
          </w14:textFill>
        </w:rPr>
        <w:t>你公司应认真落实《报告表》提出的各项污染防治措施和建议，最大限度地减少对环境的影响，并重点做好以下工作：</w:t>
      </w:r>
      <w:r>
        <w:rPr>
          <w:rFonts w:hint="eastAsia" w:ascii="仿宋" w:hAnsi="仿宋" w:eastAsia="仿宋" w:cs="仿宋"/>
          <w:color w:val="000000" w:themeColor="text1"/>
          <w:kern w:val="0"/>
          <w:sz w:val="32"/>
          <w:szCs w:val="32"/>
          <w:lang w:val="en-US" w:eastAsia="zh-CN" w:bidi="ar"/>
          <w14:textFill>
            <w14:solidFill>
              <w14:schemeClr w14:val="tx1"/>
            </w14:solidFill>
          </w14:textFill>
        </w:rPr>
        <w:br w:type="textWrapping"/>
      </w:r>
      <w:r>
        <w:rPr>
          <w:rFonts w:hint="eastAsia" w:ascii="仿宋" w:hAnsi="仿宋" w:eastAsia="仿宋" w:cs="仿宋"/>
          <w:color w:val="000000" w:themeColor="text1"/>
          <w:kern w:val="0"/>
          <w:sz w:val="32"/>
          <w:szCs w:val="32"/>
          <w:lang w:val="en-US" w:eastAsia="zh-CN" w:bidi="ar"/>
          <w14:textFill>
            <w14:solidFill>
              <w14:schemeClr w14:val="tx1"/>
            </w14:solidFill>
          </w14:textFill>
        </w:rPr>
        <w:t>    （一）施工期间应采取有效措施，防止水土流失；施工废水经隔油隔渣沉淀池处理后回用于洒水等，不得外排；施工场地应采取洒水、遮蔽等措施控制扬尘污染，确保施工废气排放符合《广东省大气污染物排放限值》（DB44/27—2001）第二时段无组织排放监控浓度限值；合理安排施工工序及施工作业时间，采用低噪声设备并采取隔声减噪等措施减小施工噪声对周边环境的影响，确保施工期厂界噪声符合《建筑场界环境噪声排放标准》（GB12523-2011）；及时分类清理施工产生的固体废物，不能回填利用的应及时清运处理，切实维护周边环境。</w:t>
      </w:r>
      <w:r>
        <w:rPr>
          <w:rFonts w:hint="eastAsia" w:ascii="仿宋" w:hAnsi="仿宋" w:eastAsia="仿宋" w:cs="仿宋"/>
          <w:color w:val="000000" w:themeColor="text1"/>
          <w:kern w:val="0"/>
          <w:sz w:val="32"/>
          <w:szCs w:val="32"/>
          <w:lang w:val="en-US" w:eastAsia="zh-CN" w:bidi="ar"/>
          <w14:textFill>
            <w14:solidFill>
              <w14:schemeClr w14:val="tx1"/>
            </w14:solidFill>
          </w14:textFill>
        </w:rPr>
        <w:br w:type="textWrapping"/>
      </w:r>
      <w:r>
        <w:rPr>
          <w:rFonts w:hint="eastAsia" w:ascii="仿宋" w:hAnsi="仿宋" w:eastAsia="仿宋" w:cs="仿宋"/>
          <w:color w:val="000000" w:themeColor="text1"/>
          <w:kern w:val="0"/>
          <w:sz w:val="32"/>
          <w:szCs w:val="32"/>
          <w:lang w:val="en-US" w:eastAsia="zh-CN" w:bidi="ar"/>
          <w14:textFill>
            <w14:solidFill>
              <w14:schemeClr w14:val="tx1"/>
            </w14:solidFill>
          </w14:textFill>
        </w:rPr>
        <w:t>    （二）加强污水处理厂运行管理，加强污水厂进出水质监控，</w:t>
      </w:r>
      <w:r>
        <w:rPr>
          <w:rFonts w:hint="eastAsia" w:ascii="仿宋" w:hAnsi="仿宋" w:eastAsia="仿宋" w:cs="仿宋"/>
          <w:i w:val="0"/>
          <w:caps w:val="0"/>
          <w:color w:val="000000" w:themeColor="text1"/>
          <w:spacing w:val="0"/>
          <w:sz w:val="32"/>
          <w:szCs w:val="32"/>
          <w:shd w:val="clear" w:fill="FFFFFF"/>
          <w14:textFill>
            <w14:solidFill>
              <w14:schemeClr w14:val="tx1"/>
            </w14:solidFill>
          </w14:textFill>
        </w:rPr>
        <w:t>在排放口应设污水水量自动计量装置、 自动比例采样装置，在线监测装置</w:t>
      </w:r>
      <w:r>
        <w:rPr>
          <w:rFonts w:hint="eastAsia" w:ascii="仿宋" w:hAnsi="仿宋" w:eastAsia="仿宋" w:cs="仿宋"/>
          <w:i w:val="0"/>
          <w:caps w:val="0"/>
          <w:color w:val="000000" w:themeColor="text1"/>
          <w:spacing w:val="0"/>
          <w:sz w:val="32"/>
          <w:szCs w:val="32"/>
          <w:shd w:val="clear" w:fill="FFFFFF"/>
          <w:lang w:eastAsia="zh-CN"/>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尾水执行《城镇污水处理厂污染物排放标准》（GB18918-2002）及其修改单中一级标准的A标准及广东省地方标准《水污染排放限值》（DB44/26-2001）第二时段一级标准的较严值</w:t>
      </w:r>
      <w:r>
        <w:rPr>
          <w:rFonts w:hint="eastAsia" w:ascii="仿宋" w:hAnsi="仿宋" w:eastAsia="仿宋" w:cs="仿宋"/>
          <w:color w:val="000000" w:themeColor="text1"/>
          <w:kern w:val="0"/>
          <w:sz w:val="32"/>
          <w:szCs w:val="32"/>
          <w:lang w:val="en-US" w:eastAsia="zh-CN" w:bidi="ar"/>
          <w14:textFill>
            <w14:solidFill>
              <w14:schemeClr w14:val="tx1"/>
            </w14:solidFill>
          </w14:textFill>
        </w:rPr>
        <w:t>。</w:t>
      </w:r>
      <w:r>
        <w:rPr>
          <w:rFonts w:hint="eastAsia" w:ascii="仿宋" w:hAnsi="仿宋" w:eastAsia="仿宋" w:cs="仿宋"/>
          <w:color w:val="000000" w:themeColor="text1"/>
          <w:kern w:val="0"/>
          <w:sz w:val="32"/>
          <w:szCs w:val="32"/>
          <w:lang w:val="en-US" w:eastAsia="zh-CN" w:bidi="ar"/>
          <w14:textFill>
            <w14:solidFill>
              <w14:schemeClr w14:val="tx1"/>
            </w14:solidFill>
          </w14:textFill>
        </w:rPr>
        <w:br w:type="textWrapping"/>
      </w:r>
      <w:r>
        <w:rPr>
          <w:rFonts w:hint="eastAsia" w:ascii="仿宋" w:hAnsi="仿宋" w:eastAsia="仿宋" w:cs="仿宋"/>
          <w:color w:val="000000" w:themeColor="text1"/>
          <w:kern w:val="0"/>
          <w:sz w:val="32"/>
          <w:szCs w:val="32"/>
          <w:lang w:val="en-US" w:eastAsia="zh-CN" w:bidi="ar"/>
          <w14:textFill>
            <w14:solidFill>
              <w14:schemeClr w14:val="tx1"/>
            </w14:solidFill>
          </w14:textFill>
        </w:rPr>
        <w:t>    （三）加强污水处理厂恶臭污染控制，对产生恶臭的设施必须采取有效隔臭除臭措施，并加强绿化建设，提高厂区内绿化覆盖率，减轻恶臭对周围环境影响，确保废气排放符合《城镇污水处理厂污染物排放标准》（GB18918-2002）二级标准和《恶臭污染物排放标准》（GB14554-93）二级标准中新扩改建项目厂界标准值的较严值。</w:t>
      </w:r>
      <w:r>
        <w:rPr>
          <w:rFonts w:hint="eastAsia" w:ascii="仿宋" w:hAnsi="仿宋" w:eastAsia="仿宋" w:cs="仿宋"/>
          <w:color w:val="000000" w:themeColor="text1"/>
          <w:kern w:val="0"/>
          <w:sz w:val="32"/>
          <w:szCs w:val="32"/>
          <w:lang w:val="en-US" w:eastAsia="zh-CN" w:bidi="ar"/>
          <w14:textFill>
            <w14:solidFill>
              <w14:schemeClr w14:val="tx1"/>
            </w14:solidFill>
          </w14:textFill>
        </w:rPr>
        <w:br w:type="textWrapping"/>
      </w:r>
      <w:r>
        <w:rPr>
          <w:rFonts w:hint="eastAsia" w:ascii="仿宋" w:hAnsi="仿宋" w:eastAsia="仿宋" w:cs="仿宋"/>
          <w:color w:val="000000" w:themeColor="text1"/>
          <w:kern w:val="0"/>
          <w:sz w:val="32"/>
          <w:szCs w:val="32"/>
          <w:lang w:val="en-US" w:eastAsia="zh-CN" w:bidi="ar"/>
          <w14:textFill>
            <w14:solidFill>
              <w14:schemeClr w14:val="tx1"/>
            </w14:solidFill>
          </w14:textFill>
        </w:rPr>
        <w:t>    （四）加强污水处理厂噪声污染控制，对产生噪声的设备进行合理布局，并采取有效的隔音消声减振措施，确保厂界噪声符合《工业企业厂界环境噪声排放标准》（GB12348-2008）2类标准。</w:t>
      </w:r>
      <w:r>
        <w:rPr>
          <w:rFonts w:hint="eastAsia" w:ascii="仿宋" w:hAnsi="仿宋" w:eastAsia="仿宋" w:cs="仿宋"/>
          <w:color w:val="000000" w:themeColor="text1"/>
          <w:kern w:val="0"/>
          <w:sz w:val="32"/>
          <w:szCs w:val="32"/>
          <w:lang w:val="en-US" w:eastAsia="zh-CN" w:bidi="ar"/>
          <w14:textFill>
            <w14:solidFill>
              <w14:schemeClr w14:val="tx1"/>
            </w14:solidFill>
          </w14:textFill>
        </w:rPr>
        <w:br w:type="textWrapping"/>
      </w:r>
      <w:r>
        <w:rPr>
          <w:rFonts w:hint="eastAsia" w:ascii="仿宋" w:hAnsi="仿宋" w:eastAsia="仿宋" w:cs="仿宋"/>
          <w:color w:val="000000" w:themeColor="text1"/>
          <w:kern w:val="0"/>
          <w:sz w:val="32"/>
          <w:szCs w:val="32"/>
          <w:lang w:val="en-US" w:eastAsia="zh-CN" w:bidi="ar"/>
          <w14:textFill>
            <w14:solidFill>
              <w14:schemeClr w14:val="tx1"/>
            </w14:solidFill>
          </w14:textFill>
        </w:rPr>
        <w:t xml:space="preserve">    （五）污泥应单独收贮和储存，污泥临时堆放场应采取防泄漏、防渗、防雨等措施，确保污泥贮存符合《一般工业固体固体废物贮存、处置场污染控制标准》(GB18599-2001)及2013年修改单要求。污泥应进行稳定化处理和脱水处理，分别达到污泥稳定化指标和脱水污泥含水率小于80%的指标，并符合《城镇污水处理厂污染物排放标准》（GB18918-2002）相关要求。 </w:t>
      </w:r>
    </w:p>
    <w:p>
      <w:pPr>
        <w:keepNext w:val="0"/>
        <w:keepLines w:val="0"/>
        <w:pageBreakBefore w:val="0"/>
        <w:numPr>
          <w:ilvl w:val="0"/>
          <w:numId w:val="0"/>
        </w:numPr>
        <w:kinsoku/>
        <w:wordWrap/>
        <w:overflowPunct/>
        <w:topLinePunct w:val="0"/>
        <w:autoSpaceDE/>
        <w:autoSpaceDN/>
        <w:bidi w:val="0"/>
        <w:adjustRightInd/>
        <w:snapToGrid/>
        <w:spacing w:line="580" w:lineRule="exact"/>
        <w:ind w:leftChars="200" w:right="0" w:rightChars="0"/>
        <w:jc w:val="left"/>
        <w:textAlignment w:val="auto"/>
        <w:outlineLvl w:val="9"/>
        <w:rPr>
          <w:rFonts w:hint="eastAsia" w:ascii="仿宋" w:hAnsi="仿宋" w:eastAsia="仿宋" w:cs="仿宋"/>
          <w:sz w:val="32"/>
          <w:szCs w:val="32"/>
        </w:rPr>
      </w:pPr>
      <w:r>
        <w:rPr>
          <w:rFonts w:hint="eastAsia" w:ascii="仿宋" w:hAnsi="仿宋" w:eastAsia="仿宋" w:cs="仿宋"/>
          <w:color w:val="000000" w:themeColor="text1"/>
          <w:kern w:val="0"/>
          <w:sz w:val="32"/>
          <w:szCs w:val="32"/>
          <w:lang w:val="en-US" w:eastAsia="zh-CN" w:bidi="ar"/>
          <w14:textFill>
            <w14:solidFill>
              <w14:schemeClr w14:val="tx1"/>
            </w14:solidFill>
          </w14:textFill>
        </w:rPr>
        <w:t xml:space="preserve"> </w:t>
      </w:r>
      <w:r>
        <w:rPr>
          <w:rFonts w:hint="eastAsia" w:ascii="仿宋" w:hAnsi="仿宋" w:eastAsia="仿宋" w:cs="仿宋"/>
          <w:sz w:val="32"/>
          <w:szCs w:val="32"/>
          <w:lang w:val="en-US" w:eastAsia="zh-CN"/>
        </w:rPr>
        <w:t>（六）制定环境风险应急预案，落实风险防范措施，确保环境安全。</w:t>
      </w:r>
    </w:p>
    <w:p>
      <w:pPr>
        <w:keepNext w:val="0"/>
        <w:keepLines w:val="0"/>
        <w:pageBreakBefore w:val="0"/>
        <w:kinsoku/>
        <w:wordWrap/>
        <w:overflowPunct/>
        <w:topLinePunct w:val="0"/>
        <w:autoSpaceDE/>
        <w:autoSpaceDN/>
        <w:bidi w:val="0"/>
        <w:adjustRightInd/>
        <w:snapToGrid/>
        <w:spacing w:line="580" w:lineRule="exact"/>
        <w:ind w:left="0" w:leftChars="0" w:right="0" w:rightChars="0" w:firstLine="560"/>
        <w:textAlignment w:val="auto"/>
        <w:outlineLvl w:val="9"/>
        <w:rPr>
          <w:rFonts w:hint="eastAsia" w:ascii="仿宋" w:hAnsi="仿宋" w:eastAsia="仿宋" w:cs="仿宋"/>
          <w:b w:val="0"/>
          <w:bCs/>
          <w:color w:val="000000" w:themeColor="text1"/>
          <w:sz w:val="32"/>
          <w:szCs w:val="32"/>
          <w:lang w:val="en-US" w:eastAsia="zh-CN"/>
          <w14:textFill>
            <w14:solidFill>
              <w14:schemeClr w14:val="tx1"/>
            </w14:solidFill>
          </w14:textFill>
        </w:rPr>
      </w:pPr>
      <w:r>
        <w:rPr>
          <w:rFonts w:hint="eastAsia" w:ascii="仿宋" w:hAnsi="仿宋" w:eastAsia="仿宋" w:cs="仿宋"/>
          <w:sz w:val="32"/>
          <w:szCs w:val="32"/>
          <w:lang w:val="en-US" w:eastAsia="zh-CN"/>
        </w:rPr>
        <w:t>（七）完善生活污水管网建设，提高生活污水收集率。</w:t>
      </w:r>
    </w:p>
    <w:p>
      <w:pPr>
        <w:keepNext w:val="0"/>
        <w:keepLines w:val="0"/>
        <w:pageBreakBefore w:val="0"/>
        <w:kinsoku/>
        <w:wordWrap/>
        <w:overflowPunct/>
        <w:topLinePunct w:val="0"/>
        <w:autoSpaceDE/>
        <w:autoSpaceDN/>
        <w:bidi w:val="0"/>
        <w:adjustRightInd/>
        <w:snapToGrid/>
        <w:spacing w:line="580" w:lineRule="exact"/>
        <w:ind w:left="0" w:leftChars="0" w:right="0" w:rightChars="0" w:firstLine="560"/>
        <w:textAlignment w:val="auto"/>
        <w:outlineLvl w:val="9"/>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b w:val="0"/>
          <w:bCs/>
          <w:color w:val="000000" w:themeColor="text1"/>
          <w:sz w:val="32"/>
          <w:szCs w:val="32"/>
          <w:lang w:val="en-US" w:eastAsia="zh-CN"/>
          <w14:textFill>
            <w14:solidFill>
              <w14:schemeClr w14:val="tx1"/>
            </w14:solidFill>
          </w14:textFill>
        </w:rPr>
        <w:t>四</w:t>
      </w:r>
      <w:r>
        <w:rPr>
          <w:rFonts w:hint="eastAsia" w:ascii="仿宋" w:hAnsi="仿宋" w:eastAsia="仿宋" w:cs="仿宋"/>
          <w:b w:val="0"/>
          <w:bCs/>
          <w:color w:val="000000" w:themeColor="text1"/>
          <w:sz w:val="32"/>
          <w:szCs w:val="32"/>
          <w:lang w:eastAsia="zh-CN"/>
          <w14:textFill>
            <w14:solidFill>
              <w14:schemeClr w14:val="tx1"/>
            </w14:solidFill>
          </w14:textFill>
        </w:rPr>
        <w:t>、</w:t>
      </w:r>
      <w:r>
        <w:rPr>
          <w:rFonts w:hint="eastAsia" w:ascii="仿宋" w:hAnsi="仿宋" w:eastAsia="仿宋" w:cs="仿宋"/>
          <w:b w:val="0"/>
          <w:bCs/>
          <w:color w:val="000000" w:themeColor="text1"/>
          <w:sz w:val="32"/>
          <w:szCs w:val="32"/>
          <w14:textFill>
            <w14:solidFill>
              <w14:schemeClr w14:val="tx1"/>
            </w14:solidFill>
          </w14:textFill>
        </w:rPr>
        <w:t>项目建设必须严格执行配套的环境保护设施与主体工程同时设计、同时施工、同时投产使用的环境保护“三同时”制度</w:t>
      </w:r>
      <w:r>
        <w:rPr>
          <w:rFonts w:hint="eastAsia" w:ascii="仿宋" w:hAnsi="仿宋" w:eastAsia="仿宋" w:cs="仿宋"/>
          <w:b w:val="0"/>
          <w:bCs/>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项目竣工后, 建设单位须按规定程序实施项目竣工环境保护验收，验收合格后方可正式投入生产。</w:t>
      </w:r>
    </w:p>
    <w:p>
      <w:pPr>
        <w:spacing w:line="600" w:lineRule="exact"/>
        <w:jc w:val="both"/>
        <w:rPr>
          <w:rFonts w:hint="eastAsia" w:ascii="仿宋" w:hAnsi="仿宋" w:eastAsia="仿宋" w:cs="仿宋"/>
          <w:b w:val="0"/>
          <w:bCs/>
          <w:color w:val="000000" w:themeColor="text1"/>
          <w:sz w:val="32"/>
          <w:szCs w:val="32"/>
          <w:lang w:val="en-US"/>
          <w14:textFill>
            <w14:solidFill>
              <w14:schemeClr w14:val="tx1"/>
            </w14:solidFill>
          </w14:textFill>
        </w:rPr>
      </w:pPr>
      <w:r>
        <w:rPr>
          <w:rFonts w:hint="eastAsia" w:ascii="仿宋" w:hAnsi="仿宋" w:eastAsia="仿宋" w:cs="仿宋"/>
          <w:b w:val="0"/>
          <w:bCs/>
          <w:color w:val="000000" w:themeColor="text1"/>
          <w:sz w:val="32"/>
          <w:szCs w:val="32"/>
          <w14:textFill>
            <w14:solidFill>
              <w14:schemeClr w14:val="tx1"/>
            </w14:solidFill>
          </w14:textFill>
        </w:rPr>
        <w:t>　　</w:t>
      </w:r>
      <w:r>
        <w:rPr>
          <w:rFonts w:hint="eastAsia" w:ascii="仿宋" w:hAnsi="仿宋" w:eastAsia="仿宋" w:cs="仿宋"/>
          <w:b w:val="0"/>
          <w:bCs/>
          <w:color w:val="000000" w:themeColor="text1"/>
          <w:sz w:val="32"/>
          <w:szCs w:val="32"/>
          <w:lang w:val="en-US"/>
          <w14:textFill>
            <w14:solidFill>
              <w14:schemeClr w14:val="tx1"/>
            </w14:solidFill>
          </w14:textFill>
        </w:rPr>
        <w:t> </w:t>
      </w:r>
    </w:p>
    <w:p>
      <w:pPr>
        <w:spacing w:line="600" w:lineRule="exact"/>
        <w:ind w:firstLine="640" w:firstLineChars="200"/>
        <w:jc w:val="right"/>
        <w:rPr>
          <w:rFonts w:hint="eastAsia" w:ascii="仿宋" w:hAnsi="仿宋" w:eastAsia="仿宋" w:cs="仿宋"/>
          <w:bCs/>
          <w:color w:val="000000" w:themeColor="text1"/>
          <w:sz w:val="32"/>
          <w:szCs w:val="32"/>
          <w14:textFill>
            <w14:solidFill>
              <w14:schemeClr w14:val="tx1"/>
            </w14:solidFill>
          </w14:textFill>
        </w:rPr>
      </w:pPr>
      <w:r>
        <w:rPr>
          <w:rFonts w:hint="eastAsia" w:ascii="仿宋" w:hAnsi="仿宋" w:eastAsia="仿宋" w:cs="仿宋"/>
          <w:b w:val="0"/>
          <w:bCs/>
          <w:color w:val="000000" w:themeColor="text1"/>
          <w:sz w:val="32"/>
          <w:szCs w:val="32"/>
          <w14:textFill>
            <w14:solidFill>
              <w14:schemeClr w14:val="tx1"/>
            </w14:solidFill>
          </w14:textFill>
        </w:rPr>
        <w:t> </w:t>
      </w:r>
      <w:r>
        <w:rPr>
          <w:rFonts w:hint="eastAsia" w:ascii="仿宋" w:hAnsi="仿宋" w:eastAsia="仿宋" w:cs="仿宋"/>
          <w:bCs/>
          <w:color w:val="000000" w:themeColor="text1"/>
          <w:sz w:val="32"/>
          <w:szCs w:val="32"/>
          <w14:textFill>
            <w14:solidFill>
              <w14:schemeClr w14:val="tx1"/>
            </w14:solidFill>
          </w14:textFill>
        </w:rPr>
        <w:t>201</w:t>
      </w:r>
      <w:r>
        <w:rPr>
          <w:rFonts w:hint="eastAsia" w:ascii="仿宋" w:hAnsi="仿宋" w:eastAsia="仿宋" w:cs="仿宋"/>
          <w:bCs/>
          <w:color w:val="000000" w:themeColor="text1"/>
          <w:sz w:val="32"/>
          <w:szCs w:val="32"/>
          <w:lang w:val="en-US" w:eastAsia="zh-CN"/>
          <w14:textFill>
            <w14:solidFill>
              <w14:schemeClr w14:val="tx1"/>
            </w14:solidFill>
          </w14:textFill>
        </w:rPr>
        <w:t>9</w:t>
      </w:r>
      <w:r>
        <w:rPr>
          <w:rFonts w:hint="eastAsia" w:ascii="仿宋" w:hAnsi="仿宋" w:eastAsia="仿宋" w:cs="仿宋"/>
          <w:bCs/>
          <w:color w:val="000000" w:themeColor="text1"/>
          <w:sz w:val="32"/>
          <w:szCs w:val="32"/>
          <w14:textFill>
            <w14:solidFill>
              <w14:schemeClr w14:val="tx1"/>
            </w14:solidFill>
          </w14:textFill>
        </w:rPr>
        <w:t>年</w:t>
      </w:r>
      <w:r>
        <w:rPr>
          <w:rFonts w:hint="eastAsia" w:ascii="仿宋" w:hAnsi="仿宋" w:eastAsia="仿宋" w:cs="仿宋"/>
          <w:bCs/>
          <w:color w:val="000000" w:themeColor="text1"/>
          <w:sz w:val="32"/>
          <w:szCs w:val="32"/>
          <w:lang w:val="en-US" w:eastAsia="zh-CN"/>
          <w14:textFill>
            <w14:solidFill>
              <w14:schemeClr w14:val="tx1"/>
            </w14:solidFill>
          </w14:textFill>
        </w:rPr>
        <w:t>7</w:t>
      </w:r>
      <w:r>
        <w:rPr>
          <w:rFonts w:hint="eastAsia" w:ascii="仿宋" w:hAnsi="仿宋" w:eastAsia="仿宋" w:cs="仿宋"/>
          <w:bCs/>
          <w:color w:val="000000" w:themeColor="text1"/>
          <w:sz w:val="32"/>
          <w:szCs w:val="32"/>
          <w14:textFill>
            <w14:solidFill>
              <w14:schemeClr w14:val="tx1"/>
            </w14:solidFill>
          </w14:textFill>
        </w:rPr>
        <w:t>月</w:t>
      </w:r>
      <w:r>
        <w:rPr>
          <w:rFonts w:hint="eastAsia" w:ascii="仿宋" w:hAnsi="仿宋" w:eastAsia="仿宋" w:cs="仿宋"/>
          <w:bCs/>
          <w:color w:val="000000" w:themeColor="text1"/>
          <w:sz w:val="32"/>
          <w:szCs w:val="32"/>
          <w:lang w:val="en-US" w:eastAsia="zh-CN"/>
          <w14:textFill>
            <w14:solidFill>
              <w14:schemeClr w14:val="tx1"/>
            </w14:solidFill>
          </w14:textFill>
        </w:rPr>
        <w:t>31</w:t>
      </w:r>
      <w:bookmarkStart w:id="0" w:name="_GoBack"/>
      <w:bookmarkEnd w:id="0"/>
      <w:r>
        <w:rPr>
          <w:rFonts w:hint="eastAsia" w:ascii="仿宋" w:hAnsi="仿宋" w:eastAsia="仿宋" w:cs="仿宋"/>
          <w:bCs/>
          <w:color w:val="000000" w:themeColor="text1"/>
          <w:sz w:val="32"/>
          <w:szCs w:val="32"/>
          <w14:textFill>
            <w14:solidFill>
              <w14:schemeClr w14:val="tx1"/>
            </w14:solidFill>
          </w14:textFill>
        </w:rPr>
        <w:t>日</w:t>
      </w:r>
    </w:p>
    <w:p>
      <w:pPr>
        <w:rPr>
          <w:rFonts w:hint="eastAsia" w:ascii="仿宋" w:hAnsi="仿宋" w:eastAsia="仿宋" w:cs="仿宋"/>
          <w:b w:val="0"/>
          <w:bCs/>
          <w:color w:val="000000" w:themeColor="text1"/>
          <w:sz w:val="32"/>
          <w:szCs w:val="32"/>
          <w14:textFill>
            <w14:solidFill>
              <w14:schemeClr w14:val="tx1"/>
            </w14:solidFill>
          </w14:textFill>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140CA74"/>
    <w:multiLevelType w:val="singleLevel"/>
    <w:tmpl w:val="6140CA74"/>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5542971"/>
    <w:rsid w:val="00C71EF9"/>
    <w:rsid w:val="02B03E3C"/>
    <w:rsid w:val="052E1CA3"/>
    <w:rsid w:val="073564DA"/>
    <w:rsid w:val="0FBB2F50"/>
    <w:rsid w:val="10025190"/>
    <w:rsid w:val="1A8E1219"/>
    <w:rsid w:val="1DAA22D3"/>
    <w:rsid w:val="1EF37966"/>
    <w:rsid w:val="1F6552C0"/>
    <w:rsid w:val="24720665"/>
    <w:rsid w:val="2A5672C0"/>
    <w:rsid w:val="2D8943C0"/>
    <w:rsid w:val="2F715C38"/>
    <w:rsid w:val="31DD78DE"/>
    <w:rsid w:val="3BB82DF5"/>
    <w:rsid w:val="475305C3"/>
    <w:rsid w:val="4D311B88"/>
    <w:rsid w:val="4EFA7155"/>
    <w:rsid w:val="4F512D07"/>
    <w:rsid w:val="501C6FD4"/>
    <w:rsid w:val="517C3CAE"/>
    <w:rsid w:val="522A3541"/>
    <w:rsid w:val="531B6F67"/>
    <w:rsid w:val="5E942FDB"/>
    <w:rsid w:val="61DE7554"/>
    <w:rsid w:val="64B65258"/>
    <w:rsid w:val="65C3287D"/>
    <w:rsid w:val="6D0C199F"/>
    <w:rsid w:val="6DA41A25"/>
    <w:rsid w:val="6FE47F59"/>
    <w:rsid w:val="75542971"/>
    <w:rsid w:val="757C79A0"/>
    <w:rsid w:val="7B314BF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8">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customStyle="1" w:styleId="2">
    <w:name w:val="样式 标题 2 + 宋体"/>
    <w:basedOn w:val="3"/>
    <w:qFormat/>
    <w:uiPriority w:val="0"/>
    <w:pPr>
      <w:spacing w:line="240" w:lineRule="auto"/>
    </w:pPr>
    <w:rPr>
      <w:rFonts w:ascii="宋体" w:hAnsi="宋体" w:eastAsia="宋体"/>
      <w:sz w:val="30"/>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18"/>
      <w:szCs w:val="18"/>
      <w:lang w:val="en-US" w:eastAsia="zh-CN" w:bidi="ar"/>
    </w:rPr>
  </w:style>
  <w:style w:type="character" w:styleId="9">
    <w:name w:val="FollowedHyperlink"/>
    <w:basedOn w:val="8"/>
    <w:qFormat/>
    <w:uiPriority w:val="0"/>
    <w:rPr>
      <w:color w:val="000000"/>
      <w:u w:val="none"/>
    </w:rPr>
  </w:style>
  <w:style w:type="character" w:styleId="10">
    <w:name w:val="Hyperlink"/>
    <w:basedOn w:val="8"/>
    <w:qFormat/>
    <w:uiPriority w:val="0"/>
    <w:rPr>
      <w:color w:val="000000"/>
      <w:u w:val="none"/>
    </w:rPr>
  </w:style>
  <w:style w:type="paragraph" w:customStyle="1" w:styleId="11">
    <w:name w:val="p0"/>
    <w:basedOn w:val="1"/>
    <w:qFormat/>
    <w:uiPriority w:val="0"/>
    <w:pPr>
      <w:widowControl/>
      <w:jc w:val="left"/>
    </w:pPr>
    <w:rPr>
      <w:kern w:val="0"/>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Office_11.1.0.8894_F1E327BC-269C-435d-A152-05C5408002CA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2018-02-24T03:15:00Z</dcterms:created>
  <dc:creator>Administrator</dc:creator>
  <cp:lastModifiedBy>天蓝水清</cp:lastModifiedBy>
  <cp:lastPrinted>2019-04-24T02:12:00Z</cp:lastPrinted>
  <dcterms:modified xsi:type="dcterms:W3CDTF">2019-07-31T07:48:23Z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