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jc w:val="right"/>
        <w:rPr>
          <w:rFonts w:hint="eastAsia" w:ascii="仿宋" w:hAnsi="仿宋" w:eastAsia="仿宋" w:cs="仿宋"/>
          <w:color w:val="000000" w:themeColor="text1"/>
          <w:sz w:val="32"/>
          <w:szCs w:val="32"/>
          <w14:textFill>
            <w14:solidFill>
              <w14:schemeClr w14:val="tx1"/>
            </w14:solidFill>
          </w14:textFill>
        </w:rPr>
      </w:pPr>
    </w:p>
    <w:p>
      <w:pPr>
        <w:wordWrap w:val="0"/>
        <w:spacing w:line="600" w:lineRule="exact"/>
        <w:jc w:val="right"/>
        <w:rPr>
          <w:rFonts w:hint="eastAsia" w:ascii="仿宋" w:hAnsi="仿宋" w:eastAsia="仿宋" w:cs="仿宋"/>
          <w:b/>
          <w:bCs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雷环建〔201</w:t>
      </w:r>
      <w:r>
        <w:rPr>
          <w:rFonts w:hint="eastAsia" w:ascii="仿宋" w:hAnsi="仿宋" w:eastAsia="仿宋" w:cs="仿宋"/>
          <w:color w:val="000000" w:themeColor="text1"/>
          <w:sz w:val="32"/>
          <w:szCs w:val="32"/>
          <w:lang w:val="en-US" w:eastAsia="zh-CN"/>
          <w14:textFill>
            <w14:solidFill>
              <w14:schemeClr w14:val="tx1"/>
            </w14:solidFill>
          </w14:textFill>
        </w:rPr>
        <w:t>9</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19</w:t>
      </w:r>
      <w:r>
        <w:rPr>
          <w:rFonts w:hint="eastAsia" w:ascii="仿宋" w:hAnsi="仿宋" w:eastAsia="仿宋" w:cs="仿宋"/>
          <w:color w:val="000000" w:themeColor="text1"/>
          <w:sz w:val="32"/>
          <w:szCs w:val="32"/>
          <w14:textFill>
            <w14:solidFill>
              <w14:schemeClr w14:val="tx1"/>
            </w14:solidFill>
          </w14:textFill>
        </w:rPr>
        <w:t>号</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p>
    <w:p>
      <w:pPr>
        <w:spacing w:line="560" w:lineRule="exact"/>
        <w:jc w:val="center"/>
        <w:rPr>
          <w:rFonts w:hint="eastAsia" w:ascii="仿宋" w:hAnsi="仿宋" w:eastAsia="仿宋" w:cs="仿宋"/>
          <w:b/>
          <w:bCs w:val="0"/>
          <w:color w:val="000000" w:themeColor="text1"/>
          <w:sz w:val="32"/>
          <w:szCs w:val="32"/>
          <w14:textFill>
            <w14:solidFill>
              <w14:schemeClr w14:val="tx1"/>
            </w14:solidFill>
          </w14:textFill>
        </w:rPr>
      </w:pPr>
    </w:p>
    <w:p>
      <w:pPr>
        <w:spacing w:line="560" w:lineRule="exact"/>
        <w:jc w:val="center"/>
        <w:rPr>
          <w:rFonts w:hint="eastAsia" w:ascii="仿宋" w:hAnsi="仿宋" w:eastAsia="仿宋" w:cs="仿宋"/>
          <w:b w:val="0"/>
          <w:bCs/>
          <w:color w:val="000000" w:themeColor="text1"/>
          <w:sz w:val="36"/>
          <w:szCs w:val="36"/>
          <w14:textFill>
            <w14:solidFill>
              <w14:schemeClr w14:val="tx1"/>
            </w14:solidFill>
          </w14:textFill>
        </w:rPr>
      </w:pPr>
      <w:r>
        <w:rPr>
          <w:rFonts w:hint="eastAsia" w:ascii="仿宋" w:hAnsi="仿宋" w:eastAsia="仿宋" w:cs="仿宋"/>
          <w:b/>
          <w:bCs w:val="0"/>
          <w:color w:val="000000" w:themeColor="text1"/>
          <w:sz w:val="36"/>
          <w:szCs w:val="36"/>
          <w14:textFill>
            <w14:solidFill>
              <w14:schemeClr w14:val="tx1"/>
            </w14:solidFill>
          </w14:textFill>
        </w:rPr>
        <w:t>关于</w:t>
      </w:r>
      <w:r>
        <w:rPr>
          <w:rFonts w:hint="eastAsia" w:ascii="仿宋" w:hAnsi="仿宋" w:eastAsia="仿宋" w:cs="仿宋"/>
          <w:b/>
          <w:bCs w:val="0"/>
          <w:color w:val="000000" w:themeColor="text1"/>
          <w:sz w:val="36"/>
          <w:szCs w:val="36"/>
          <w:lang w:eastAsia="zh-CN"/>
          <w14:textFill>
            <w14:solidFill>
              <w14:schemeClr w14:val="tx1"/>
            </w14:solidFill>
          </w14:textFill>
        </w:rPr>
        <w:t>雷州市镇区生活污水处理PPP项目客路镇镇区生活污水处理项目环境影响报告</w:t>
      </w:r>
      <w:r>
        <w:rPr>
          <w:rFonts w:hint="eastAsia" w:ascii="仿宋" w:hAnsi="仿宋" w:eastAsia="仿宋" w:cs="仿宋"/>
          <w:b/>
          <w:bCs w:val="0"/>
          <w:color w:val="000000" w:themeColor="text1"/>
          <w:sz w:val="36"/>
          <w:szCs w:val="36"/>
          <w:lang w:val="en-US" w:eastAsia="zh-CN"/>
          <w14:textFill>
            <w14:solidFill>
              <w14:schemeClr w14:val="tx1"/>
            </w14:solidFill>
          </w14:textFill>
        </w:rPr>
        <w:t>表</w:t>
      </w:r>
      <w:r>
        <w:rPr>
          <w:rFonts w:hint="eastAsia" w:ascii="仿宋" w:hAnsi="仿宋" w:eastAsia="仿宋" w:cs="仿宋"/>
          <w:b/>
          <w:bCs w:val="0"/>
          <w:color w:val="000000" w:themeColor="text1"/>
          <w:sz w:val="36"/>
          <w:szCs w:val="36"/>
          <w:lang w:val="zh-CN"/>
          <w14:textFill>
            <w14:solidFill>
              <w14:schemeClr w14:val="tx1"/>
            </w14:solidFill>
          </w14:textFill>
        </w:rPr>
        <w:t>的批复</w:t>
      </w:r>
    </w:p>
    <w:p>
      <w:pPr>
        <w:rPr>
          <w:rFonts w:hint="eastAsia" w:ascii="仿宋" w:hAnsi="仿宋" w:eastAsia="仿宋" w:cs="仿宋"/>
          <w:b w:val="0"/>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雷州博瑞水务有限公司</w:t>
      </w:r>
      <w:r>
        <w:rPr>
          <w:rFonts w:hint="eastAsia" w:ascii="仿宋" w:hAnsi="仿宋" w:eastAsia="仿宋" w:cs="仿宋"/>
          <w:b w:val="0"/>
          <w:bCs/>
          <w:color w:val="000000" w:themeColor="text1"/>
          <w:sz w:val="32"/>
          <w:szCs w:val="32"/>
          <w14:textFill>
            <w14:solidFill>
              <w14:schemeClr w14:val="tx1"/>
            </w14:solidFill>
          </w14:textFill>
        </w:rPr>
        <w:t>： </w:t>
      </w:r>
    </w:p>
    <w:p>
      <w:pPr>
        <w:pStyle w:val="11"/>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你</w:t>
      </w:r>
      <w:r>
        <w:rPr>
          <w:rFonts w:hint="eastAsia" w:ascii="仿宋" w:hAnsi="仿宋" w:eastAsia="仿宋" w:cs="仿宋"/>
          <w:color w:val="000000" w:themeColor="text1"/>
          <w:sz w:val="32"/>
          <w:szCs w:val="32"/>
          <w:lang w:eastAsia="zh-CN"/>
          <w14:textFill>
            <w14:solidFill>
              <w14:schemeClr w14:val="tx1"/>
            </w14:solidFill>
          </w14:textFill>
        </w:rPr>
        <w:t>公司</w:t>
      </w:r>
      <w:r>
        <w:rPr>
          <w:rFonts w:hint="eastAsia" w:ascii="仿宋" w:hAnsi="仿宋" w:eastAsia="仿宋" w:cs="仿宋"/>
          <w:color w:val="000000" w:themeColor="text1"/>
          <w:sz w:val="32"/>
          <w:szCs w:val="32"/>
          <w14:textFill>
            <w14:solidFill>
              <w14:schemeClr w14:val="tx1"/>
            </w14:solidFill>
          </w14:textFill>
        </w:rPr>
        <w:t>报送的</w:t>
      </w:r>
      <w:r>
        <w:rPr>
          <w:rFonts w:hint="eastAsia" w:ascii="仿宋" w:hAnsi="仿宋" w:eastAsia="仿宋" w:cs="仿宋"/>
          <w:b w:val="0"/>
          <w:bCs w:val="0"/>
          <w:color w:val="000000" w:themeColor="text1"/>
          <w:sz w:val="32"/>
          <w:szCs w:val="32"/>
          <w14:textFill>
            <w14:solidFill>
              <w14:schemeClr w14:val="tx1"/>
            </w14:solidFill>
          </w14:textFill>
        </w:rPr>
        <w:t>《</w:t>
      </w:r>
      <w:r>
        <w:rPr>
          <w:rFonts w:hint="eastAsia" w:ascii="仿宋" w:hAnsi="仿宋" w:eastAsia="仿宋" w:cs="仿宋"/>
          <w:b w:val="0"/>
          <w:bCs w:val="0"/>
          <w:color w:val="000000" w:themeColor="text1"/>
          <w:sz w:val="32"/>
          <w:szCs w:val="32"/>
          <w:lang w:eastAsia="zh-CN"/>
          <w14:textFill>
            <w14:solidFill>
              <w14:schemeClr w14:val="tx1"/>
            </w14:solidFill>
          </w14:textFill>
        </w:rPr>
        <w:t>雷州市镇区生活污水处理PPP项目客路镇镇区生活污水处理项目环境影响报告表</w:t>
      </w:r>
      <w:r>
        <w:rPr>
          <w:rFonts w:hint="eastAsia" w:ascii="仿宋" w:hAnsi="仿宋" w:eastAsia="仿宋" w:cs="仿宋"/>
          <w:color w:val="000000" w:themeColor="text1"/>
          <w:sz w:val="32"/>
          <w:szCs w:val="32"/>
          <w14:textFill>
            <w14:solidFill>
              <w14:schemeClr w14:val="tx1"/>
            </w14:solidFill>
          </w14:textFill>
        </w:rPr>
        <w:t>》（以下简称</w:t>
      </w:r>
      <w:r>
        <w:rPr>
          <w:rFonts w:hint="eastAsia" w:ascii="仿宋" w:hAnsi="仿宋" w:eastAsia="仿宋" w:cs="仿宋"/>
          <w:b w:val="0"/>
          <w:bCs/>
          <w:color w:val="000000" w:themeColor="text1"/>
          <w:sz w:val="32"/>
          <w:szCs w:val="32"/>
          <w14:textFill>
            <w14:solidFill>
              <w14:schemeClr w14:val="tx1"/>
            </w14:solidFill>
          </w14:textFill>
        </w:rPr>
        <w:t>《报告表》</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及有关材料</w:t>
      </w:r>
      <w:r>
        <w:rPr>
          <w:rFonts w:hint="eastAsia" w:ascii="仿宋" w:hAnsi="仿宋" w:eastAsia="仿宋" w:cs="仿宋"/>
          <w:color w:val="000000" w:themeColor="text1"/>
          <w:sz w:val="32"/>
          <w:szCs w:val="32"/>
          <w14:textFill>
            <w14:solidFill>
              <w14:schemeClr w14:val="tx1"/>
            </w14:solidFill>
          </w14:textFill>
        </w:rPr>
        <w:t>收悉，</w:t>
      </w:r>
      <w:r>
        <w:rPr>
          <w:rFonts w:hint="eastAsia" w:ascii="仿宋" w:hAnsi="仿宋" w:eastAsia="仿宋" w:cs="仿宋"/>
          <w:b w:val="0"/>
          <w:bCs/>
          <w:color w:val="000000" w:themeColor="text1"/>
          <w:sz w:val="32"/>
          <w:szCs w:val="32"/>
          <w14:textFill>
            <w14:solidFill>
              <w14:schemeClr w14:val="tx1"/>
            </w14:solidFill>
          </w14:textFill>
        </w:rPr>
        <w:t>我局按照建设项目环境管理有关规定对该项目进行审查，批复如下： </w:t>
      </w:r>
    </w:p>
    <w:p>
      <w:pPr>
        <w:keepNext w:val="0"/>
        <w:keepLines w:val="0"/>
        <w:pageBreakBefore w:val="0"/>
        <w:numPr>
          <w:ilvl w:val="0"/>
          <w:numId w:val="1"/>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lang w:eastAsia="zh-CN"/>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根据《报告表》的综合</w:t>
      </w:r>
      <w:r>
        <w:rPr>
          <w:rFonts w:hint="eastAsia" w:ascii="仿宋" w:hAnsi="仿宋" w:eastAsia="仿宋" w:cs="仿宋"/>
          <w:b w:val="0"/>
          <w:bCs/>
          <w:color w:val="000000" w:themeColor="text1"/>
          <w:sz w:val="32"/>
          <w:szCs w:val="32"/>
          <w:lang w:eastAsia="zh-CN"/>
          <w14:textFill>
            <w14:solidFill>
              <w14:schemeClr w14:val="tx1"/>
            </w14:solidFill>
          </w14:textFill>
        </w:rPr>
        <w:t>结论</w:t>
      </w:r>
      <w:r>
        <w:rPr>
          <w:rFonts w:hint="eastAsia" w:ascii="仿宋" w:hAnsi="仿宋" w:eastAsia="仿宋" w:cs="仿宋"/>
          <w:b w:val="0"/>
          <w:bCs/>
          <w:color w:val="000000" w:themeColor="text1"/>
          <w:sz w:val="32"/>
          <w:szCs w:val="32"/>
          <w14:textFill>
            <w14:solidFill>
              <w14:schemeClr w14:val="tx1"/>
            </w14:solidFill>
          </w14:textFill>
        </w:rPr>
        <w:t>和我局环评审批领导小组意见，在认真落实《报告表》提出的各项环境保护措施和建议的前提下，</w:t>
      </w:r>
      <w:r>
        <w:rPr>
          <w:rFonts w:hint="eastAsia" w:ascii="仿宋" w:hAnsi="仿宋" w:eastAsia="仿宋" w:cs="仿宋"/>
          <w:b w:val="0"/>
          <w:bCs/>
          <w:color w:val="000000" w:themeColor="text1"/>
          <w:sz w:val="32"/>
          <w:szCs w:val="32"/>
          <w:lang w:eastAsia="zh-CN"/>
          <w14:textFill>
            <w14:solidFill>
              <w14:schemeClr w14:val="tx1"/>
            </w14:solidFill>
          </w14:textFill>
        </w:rPr>
        <w:t>仅</w:t>
      </w:r>
      <w:r>
        <w:rPr>
          <w:rFonts w:hint="eastAsia" w:ascii="仿宋" w:hAnsi="仿宋" w:eastAsia="仿宋" w:cs="仿宋"/>
          <w:b w:val="0"/>
          <w:bCs/>
          <w:color w:val="000000" w:themeColor="text1"/>
          <w:sz w:val="32"/>
          <w:szCs w:val="32"/>
          <w14:textFill>
            <w14:solidFill>
              <w14:schemeClr w14:val="tx1"/>
            </w14:solidFill>
          </w14:textFill>
        </w:rPr>
        <w:t>从环境保护角度，</w:t>
      </w:r>
      <w:r>
        <w:rPr>
          <w:rFonts w:hint="eastAsia" w:ascii="仿宋" w:hAnsi="仿宋" w:eastAsia="仿宋" w:cs="仿宋"/>
          <w:color w:val="000000" w:themeColor="text1"/>
          <w:sz w:val="32"/>
          <w:szCs w:val="32"/>
          <w14:textFill>
            <w14:solidFill>
              <w14:schemeClr w14:val="tx1"/>
            </w14:solidFill>
          </w14:textFill>
        </w:rPr>
        <w:t>我局同意该项目按报告表申报的</w:t>
      </w:r>
      <w:r>
        <w:rPr>
          <w:rFonts w:hint="eastAsia" w:ascii="仿宋" w:hAnsi="仿宋" w:eastAsia="仿宋" w:cs="仿宋"/>
          <w:color w:val="000000" w:themeColor="text1"/>
          <w:sz w:val="32"/>
          <w:szCs w:val="32"/>
          <w:lang w:eastAsia="zh-CN"/>
          <w14:textFill>
            <w14:solidFill>
              <w14:schemeClr w14:val="tx1"/>
            </w14:solidFill>
          </w14:textFill>
        </w:rPr>
        <w:t>项目性质、规模、环境保护措施进行</w:t>
      </w:r>
      <w:r>
        <w:rPr>
          <w:rFonts w:hint="eastAsia" w:ascii="仿宋" w:hAnsi="仿宋" w:eastAsia="仿宋" w:cs="仿宋"/>
          <w:color w:val="000000" w:themeColor="text1"/>
          <w:sz w:val="32"/>
          <w:szCs w:val="32"/>
          <w14:textFill>
            <w14:solidFill>
              <w14:schemeClr w14:val="tx1"/>
            </w14:solidFill>
          </w14:textFill>
        </w:rPr>
        <w:t>建设</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b w:val="0"/>
          <w:bCs/>
          <w:color w:val="000000" w:themeColor="text1"/>
          <w:sz w:val="32"/>
          <w:szCs w:val="32"/>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项目选址位于雷州市客路镇区西北侧</w:t>
      </w:r>
      <w:r>
        <w:rPr>
          <w:rFonts w:hint="eastAsia" w:ascii="仿宋" w:hAnsi="仿宋" w:eastAsia="仿宋" w:cs="仿宋"/>
          <w:sz w:val="32"/>
          <w:szCs w:val="32"/>
          <w:lang w:eastAsia="zh-CN"/>
        </w:rPr>
        <w:t>，</w:t>
      </w:r>
      <w:r>
        <w:rPr>
          <w:rFonts w:hint="eastAsia" w:ascii="仿宋" w:hAnsi="仿宋" w:eastAsia="仿宋" w:cs="仿宋"/>
          <w:sz w:val="32"/>
          <w:szCs w:val="32"/>
        </w:rPr>
        <w:t>总投资10228.12万元，项目污水处理厂的总占地面积为11217.7m2，总建筑面积为1731.2m2，污水处理量9500m</w:t>
      </w:r>
      <w:r>
        <w:rPr>
          <w:rFonts w:hint="eastAsia" w:ascii="仿宋" w:hAnsi="仿宋" w:eastAsia="仿宋" w:cs="仿宋"/>
          <w:sz w:val="32"/>
          <w:szCs w:val="32"/>
          <w:vertAlign w:val="superscript"/>
        </w:rPr>
        <w:t>3</w:t>
      </w:r>
      <w:r>
        <w:rPr>
          <w:rFonts w:hint="eastAsia" w:ascii="仿宋" w:hAnsi="仿宋" w:eastAsia="仿宋" w:cs="仿宋"/>
          <w:sz w:val="32"/>
          <w:szCs w:val="32"/>
        </w:rPr>
        <w:t>/d（即346.75万m</w:t>
      </w:r>
      <w:r>
        <w:rPr>
          <w:rFonts w:hint="eastAsia" w:ascii="仿宋" w:hAnsi="仿宋" w:eastAsia="仿宋" w:cs="仿宋"/>
          <w:sz w:val="32"/>
          <w:szCs w:val="32"/>
          <w:vertAlign w:val="superscript"/>
        </w:rPr>
        <w:t>3</w:t>
      </w:r>
      <w:r>
        <w:rPr>
          <w:rFonts w:hint="eastAsia" w:ascii="仿宋" w:hAnsi="仿宋" w:eastAsia="仿宋" w:cs="仿宋"/>
          <w:sz w:val="32"/>
          <w:szCs w:val="32"/>
        </w:rPr>
        <w:t>/a），配套污水管网总长17917m。项目污水处理厂的</w:t>
      </w:r>
      <w:r>
        <w:rPr>
          <w:rFonts w:hint="eastAsia" w:ascii="仿宋" w:hAnsi="仿宋" w:eastAsia="仿宋" w:cs="仿宋"/>
          <w:sz w:val="32"/>
          <w:szCs w:val="32"/>
          <w:lang w:val="zh-CN"/>
        </w:rPr>
        <w:t>主要构建筑物有：</w:t>
      </w:r>
      <w:r>
        <w:rPr>
          <w:rFonts w:hint="eastAsia" w:ascii="仿宋" w:hAnsi="仿宋" w:eastAsia="仿宋" w:cs="仿宋"/>
          <w:sz w:val="32"/>
          <w:szCs w:val="32"/>
        </w:rPr>
        <w:t>粗格栅、沉砂池、调节池及提升泵房、细格栅、AAO生化池及二沉池、深度处理系统（机械混合、絮凝、斜管沉淀、滤布滤池）、污泥缓存池、污泥脱水间、紫外消毒渠及巴氏计量槽、鼓风机房及变配电间、进（出）水仪表间、辅助用房（综合楼、门卫室）等</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二、你公司应认真落实《报告表》提出的各项污染防治措施和建议，最大限度地减少对环境的影响，并重点做好以下工作：</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一）施工期间应采取有效措施，防止水土流失；施工废水经隔油隔渣沉淀池处理后回用于洒水等，不得外排；施工场地应采取洒水、遮蔽等措施控制扬尘污染，确保施工废气排放符合《广东省大气污染物排放限值》（DB44/27—2001）第二时段无组织排放监控浓度限值；合理安排施工工序及施工作业时间，采用低噪声设备并采取隔声减噪等措施减小施工噪声对周边环境的影响，确保施工期厂界噪声符合《建筑场界环境噪声排放标准》（GB12523-2011）；及时分类清理施工产生的固体废物，不能回填利用的应及时清运处理，切实维护周边环境。</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（二）加强污水处理厂运行管理，加强污水厂进出水质监控，</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在排放口应设污水水量自动计量装置、自动比例采样装置，在线监测装置</w:t>
      </w: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尾水执行《城镇污水处理厂污染物排放标准》（GB18918-2002）及其修改单中一级标准的A标准及广东省地方标准《水污染排放限值》（DB44/26-2001）第二时段一级标准的较严值</w:t>
      </w:r>
      <w:r>
        <w:rPr>
          <w:rFonts w:hint="eastAsia" w:ascii="仿宋" w:hAnsi="仿宋" w:eastAsia="仿宋" w:cs="仿宋"/>
          <w:color w:val="000000" w:themeColor="text1"/>
          <w:kern w:val="0"/>
          <w:sz w:val="32"/>
          <w:szCs w:val="32"/>
          <w:lang w:val="en-US" w:eastAsia="zh-CN" w:bidi="ar"/>
          <w14:textFill>
            <w14:solidFill>
              <w14:schemeClr w14:val="tx1"/>
            </w14:solidFill>
          </w14:textFill>
        </w:rPr>
        <w:t>。</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三）加强污水处理厂恶臭污染控制，对产生恶臭的设施必须采取有效隔臭除臭措施，并加强绿化建设，提高厂区内绿化覆盖率，减轻恶臭对周围环境影响，确保废气排放符合《城镇污水处理厂污染物排放标准》（GB18918-2002）及其修改单中的二级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（四）加强污水处理厂噪声污染控制，对产生噪声的设备进行合理布局，并采取有效的隔音消声减振措施，确保厂界噪声符合《工业企业厂界环境噪声排放标准》（GB12348-2008）2类标准。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五）污泥应单独收贮和储存，污泥临时堆放场应采取防泄漏、防渗、防雨等措施，确保污泥贮存符合《一般工业固体固体废物贮存、处置场污染控制标准》(GB18599-2001)及2013年修改单要求。污泥应进行稳定化处理和脱水处理，分别达到污泥稳定化指标和脱水污泥含水率小于80%的指标，并符合《城镇污水处理厂污染物排放标准》（GB18918-2002）相关要求。</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   </w:t>
      </w:r>
      <w:r>
        <w:rPr>
          <w:rFonts w:hint="eastAsia" w:ascii="仿宋" w:hAnsi="仿宋" w:eastAsia="仿宋" w:cs="仿宋"/>
          <w:sz w:val="32"/>
          <w:szCs w:val="32"/>
          <w:lang w:val="en-US" w:eastAsia="zh-CN"/>
        </w:rPr>
        <w:t>   （六）制定环境风险应急预案，落实风险防范措施，确保环境安全。</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（七）完善生活污水管网建设，提高生活污水收集率。</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56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四</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b w:val="0"/>
          <w:bCs/>
          <w:color w:val="000000" w:themeColor="text1"/>
          <w:sz w:val="32"/>
          <w:szCs w:val="32"/>
          <w14:textFill>
            <w14:solidFill>
              <w14:schemeClr w14:val="tx1"/>
            </w14:solidFill>
          </w14:textFill>
        </w:rPr>
        <w:t>项目建设必须严格执行配套的环境保护设施与主体工程同时设计、同时施工、同时投产使用的环境保护“三同时”制度</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项目竣</w:t>
      </w:r>
      <w:bookmarkStart w:id="0" w:name="_GoBack"/>
      <w:bookmarkEnd w:id="0"/>
      <w:r>
        <w:rPr>
          <w:rFonts w:hint="eastAsia" w:ascii="仿宋" w:hAnsi="仿宋" w:eastAsia="仿宋" w:cs="仿宋"/>
          <w:color w:val="000000" w:themeColor="text1"/>
          <w:sz w:val="32"/>
          <w:szCs w:val="32"/>
          <w14:textFill>
            <w14:solidFill>
              <w14:schemeClr w14:val="tx1"/>
            </w14:solidFill>
          </w14:textFill>
        </w:rPr>
        <w:t>工后, 建设单位须按规定程序实施项目竣工环境保护验收，验收合格后方可正式投入生产。</w:t>
      </w:r>
    </w:p>
    <w:p>
      <w:pPr>
        <w:spacing w:line="600" w:lineRule="exact"/>
        <w:ind w:firstLine="640" w:firstLineChars="200"/>
        <w:jc w:val="right"/>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ind w:firstLine="640" w:firstLineChars="200"/>
        <w:jc w:val="right"/>
        <w:rPr>
          <w:rFonts w:hint="eastAsia" w:ascii="仿宋" w:hAnsi="仿宋" w:eastAsia="仿宋" w:cs="仿宋"/>
          <w:b w:val="0"/>
          <w:bCs/>
          <w:color w:val="000000" w:themeColor="text1"/>
          <w:sz w:val="32"/>
          <w:szCs w:val="32"/>
          <w:lang w:val="en-US"/>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 w:val="0"/>
          <w:bCs/>
          <w:color w:val="000000" w:themeColor="text1"/>
          <w:sz w:val="32"/>
          <w:szCs w:val="32"/>
          <w:lang w:val="en-US"/>
          <w14:textFill>
            <w14:solidFill>
              <w14:schemeClr w14:val="tx1"/>
            </w14:solidFill>
          </w14:textFill>
        </w:rPr>
        <w:t> </w:t>
      </w:r>
    </w:p>
    <w:p>
      <w:pPr>
        <w:spacing w:line="600" w:lineRule="exact"/>
        <w:ind w:firstLine="640" w:firstLineChars="200"/>
        <w:jc w:val="right"/>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Cs/>
          <w:color w:val="000000" w:themeColor="text1"/>
          <w:sz w:val="32"/>
          <w:szCs w:val="32"/>
          <w14:textFill>
            <w14:solidFill>
              <w14:schemeClr w14:val="tx1"/>
            </w14:solidFill>
          </w14:textFill>
        </w:rPr>
        <w:t>201</w:t>
      </w:r>
      <w:r>
        <w:rPr>
          <w:rFonts w:hint="eastAsia" w:ascii="仿宋" w:hAnsi="仿宋" w:eastAsia="仿宋" w:cs="仿宋"/>
          <w:bCs/>
          <w:color w:val="000000" w:themeColor="text1"/>
          <w:sz w:val="32"/>
          <w:szCs w:val="32"/>
          <w:lang w:val="en-US" w:eastAsia="zh-CN"/>
          <w14:textFill>
            <w14:solidFill>
              <w14:schemeClr w14:val="tx1"/>
            </w14:solidFill>
          </w14:textFill>
        </w:rPr>
        <w:t>9</w:t>
      </w:r>
      <w:r>
        <w:rPr>
          <w:rFonts w:hint="eastAsia" w:ascii="仿宋" w:hAnsi="仿宋" w:eastAsia="仿宋" w:cs="仿宋"/>
          <w:bCs/>
          <w:color w:val="000000" w:themeColor="text1"/>
          <w:sz w:val="32"/>
          <w:szCs w:val="32"/>
          <w14:textFill>
            <w14:solidFill>
              <w14:schemeClr w14:val="tx1"/>
            </w14:solidFill>
          </w14:textFill>
        </w:rPr>
        <w:t>年</w:t>
      </w:r>
      <w:r>
        <w:rPr>
          <w:rFonts w:hint="eastAsia" w:ascii="仿宋" w:hAnsi="仿宋" w:eastAsia="仿宋" w:cs="仿宋"/>
          <w:bCs/>
          <w:color w:val="000000" w:themeColor="text1"/>
          <w:sz w:val="32"/>
          <w:szCs w:val="32"/>
          <w:lang w:val="en-US" w:eastAsia="zh-CN"/>
          <w14:textFill>
            <w14:solidFill>
              <w14:schemeClr w14:val="tx1"/>
            </w14:solidFill>
          </w14:textFill>
        </w:rPr>
        <w:t>7</w:t>
      </w:r>
      <w:r>
        <w:rPr>
          <w:rFonts w:hint="eastAsia" w:ascii="仿宋" w:hAnsi="仿宋" w:eastAsia="仿宋" w:cs="仿宋"/>
          <w:bCs/>
          <w:color w:val="000000" w:themeColor="text1"/>
          <w:sz w:val="32"/>
          <w:szCs w:val="32"/>
          <w14:textFill>
            <w14:solidFill>
              <w14:schemeClr w14:val="tx1"/>
            </w14:solidFill>
          </w14:textFill>
        </w:rPr>
        <w:t>月</w:t>
      </w:r>
      <w:r>
        <w:rPr>
          <w:rFonts w:hint="eastAsia" w:ascii="仿宋" w:hAnsi="仿宋" w:eastAsia="仿宋" w:cs="仿宋"/>
          <w:bCs/>
          <w:color w:val="000000" w:themeColor="text1"/>
          <w:sz w:val="32"/>
          <w:szCs w:val="32"/>
          <w:lang w:val="en-US" w:eastAsia="zh-CN"/>
          <w14:textFill>
            <w14:solidFill>
              <w14:schemeClr w14:val="tx1"/>
            </w14:solidFill>
          </w14:textFill>
        </w:rPr>
        <w:t>31</w:t>
      </w:r>
      <w:r>
        <w:rPr>
          <w:rFonts w:hint="eastAsia" w:ascii="仿宋" w:hAnsi="仿宋" w:eastAsia="仿宋" w:cs="仿宋"/>
          <w:bCs/>
          <w:color w:val="000000" w:themeColor="text1"/>
          <w:sz w:val="32"/>
          <w:szCs w:val="32"/>
          <w14:textFill>
            <w14:solidFill>
              <w14:schemeClr w14:val="tx1"/>
            </w14:solidFill>
          </w14:textFill>
        </w:rPr>
        <w:t>日</w:t>
      </w:r>
    </w:p>
    <w:p>
      <w:pPr>
        <w:rPr>
          <w:rFonts w:hint="eastAsia" w:ascii="仿宋" w:hAnsi="仿宋" w:eastAsia="仿宋" w:cs="仿宋"/>
          <w:b w:val="0"/>
          <w:bCs/>
          <w:color w:val="000000" w:themeColor="text1"/>
          <w:sz w:val="32"/>
          <w:szCs w:val="32"/>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40CA74"/>
    <w:multiLevelType w:val="singleLevel"/>
    <w:tmpl w:val="6140CA7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542971"/>
    <w:rsid w:val="00C71EF9"/>
    <w:rsid w:val="02B03E3C"/>
    <w:rsid w:val="052E1CA3"/>
    <w:rsid w:val="073564DA"/>
    <w:rsid w:val="0FBB2F50"/>
    <w:rsid w:val="1A8E1219"/>
    <w:rsid w:val="1B4023BA"/>
    <w:rsid w:val="1F6552C0"/>
    <w:rsid w:val="24720665"/>
    <w:rsid w:val="2A5672C0"/>
    <w:rsid w:val="2B420828"/>
    <w:rsid w:val="2D8943C0"/>
    <w:rsid w:val="2F715C38"/>
    <w:rsid w:val="31DD78DE"/>
    <w:rsid w:val="38EB6A43"/>
    <w:rsid w:val="3BB82DF5"/>
    <w:rsid w:val="40401A6B"/>
    <w:rsid w:val="42BF0CC3"/>
    <w:rsid w:val="475305C3"/>
    <w:rsid w:val="4D311B88"/>
    <w:rsid w:val="4EFA7155"/>
    <w:rsid w:val="4F512D07"/>
    <w:rsid w:val="501C6FD4"/>
    <w:rsid w:val="522A3541"/>
    <w:rsid w:val="531B6F67"/>
    <w:rsid w:val="58AB518D"/>
    <w:rsid w:val="604F2816"/>
    <w:rsid w:val="61DE7554"/>
    <w:rsid w:val="64B65258"/>
    <w:rsid w:val="65C3287D"/>
    <w:rsid w:val="675250B4"/>
    <w:rsid w:val="6D0C199F"/>
    <w:rsid w:val="6FE47F59"/>
    <w:rsid w:val="74274A07"/>
    <w:rsid w:val="75542971"/>
    <w:rsid w:val="757C79A0"/>
    <w:rsid w:val="7B314B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样式 标题 2 + 宋体"/>
    <w:basedOn w:val="3"/>
    <w:qFormat/>
    <w:uiPriority w:val="0"/>
    <w:pPr>
      <w:spacing w:line="240" w:lineRule="auto"/>
    </w:pPr>
    <w:rPr>
      <w:rFonts w:ascii="宋体" w:hAnsi="宋体" w:eastAsia="宋体"/>
      <w:sz w:val="3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18"/>
      <w:szCs w:val="18"/>
      <w:lang w:val="en-US" w:eastAsia="zh-CN" w:bidi="ar"/>
    </w:rPr>
  </w:style>
  <w:style w:type="character" w:styleId="9">
    <w:name w:val="FollowedHyperlink"/>
    <w:basedOn w:val="8"/>
    <w:qFormat/>
    <w:uiPriority w:val="0"/>
    <w:rPr>
      <w:color w:val="000000"/>
      <w:u w:val="none"/>
    </w:rPr>
  </w:style>
  <w:style w:type="character" w:styleId="10">
    <w:name w:val="Hyperlink"/>
    <w:basedOn w:val="8"/>
    <w:qFormat/>
    <w:uiPriority w:val="0"/>
    <w:rPr>
      <w:color w:val="000000"/>
      <w:u w:val="none"/>
    </w:rPr>
  </w:style>
  <w:style w:type="paragraph" w:customStyle="1" w:styleId="11">
    <w:name w:val="p0"/>
    <w:basedOn w:val="1"/>
    <w:qFormat/>
    <w:uiPriority w:val="0"/>
    <w:pPr>
      <w:widowControl/>
      <w:jc w:val="left"/>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2018-02-24T03:15:00Z</dcterms:created>
  <dc:creator>Administrator</dc:creator>
  <cp:lastModifiedBy>天蓝水清</cp:lastModifiedBy>
  <cp:lastPrinted>2019-04-24T02:12:00Z</cp:lastPrinted>
  <dcterms:modified xsi:type="dcterms:W3CDTF">2019-07-31T07:46:10Z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